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9FB" w:rsidRDefault="00FB59FB" w:rsidP="00FB59FB">
      <w:pPr>
        <w:rPr>
          <w:lang w:val="bg-BG"/>
        </w:rPr>
      </w:pPr>
    </w:p>
    <w:p w:rsidR="0016144D" w:rsidRPr="0016144D" w:rsidRDefault="00473309" w:rsidP="0016144D">
      <w:pPr>
        <w:rPr>
          <w:lang w:val="bg-BG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inline distT="0" distB="0" distL="0" distR="0" wp14:anchorId="20DAC4FD" wp14:editId="03C3E878">
            <wp:extent cx="920750" cy="6280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6144D" w:rsidRPr="0016144D">
        <w:t xml:space="preserve"> </w:t>
      </w:r>
    </w:p>
    <w:p w:rsidR="0016144D" w:rsidRPr="0016144D" w:rsidRDefault="0016144D" w:rsidP="0016144D">
      <w:pPr>
        <w:spacing w:after="120" w:line="240" w:lineRule="auto"/>
        <w:ind w:firstLine="706"/>
        <w:jc w:val="center"/>
        <w:rPr>
          <w:rFonts w:ascii="Times New Roman" w:eastAsia="Calibri" w:hAnsi="Times New Roman" w:cs="Times New Roman"/>
          <w:b/>
          <w:sz w:val="32"/>
          <w:szCs w:val="32"/>
          <w:lang w:val="bg-BG"/>
        </w:rPr>
      </w:pPr>
      <w:r w:rsidRPr="0016144D">
        <w:rPr>
          <w:rFonts w:ascii="Times New Roman" w:eastAsia="Calibri" w:hAnsi="Times New Roman" w:cs="Times New Roman"/>
          <w:b/>
          <w:sz w:val="32"/>
          <w:szCs w:val="32"/>
          <w:lang w:val="bg-BG"/>
        </w:rPr>
        <w:t>МЕТОДИКА</w:t>
      </w:r>
    </w:p>
    <w:p w:rsidR="0016144D" w:rsidRPr="00E559A0" w:rsidRDefault="0016144D" w:rsidP="0016144D">
      <w:pPr>
        <w:spacing w:after="120" w:line="240" w:lineRule="auto"/>
        <w:ind w:firstLine="706"/>
        <w:jc w:val="center"/>
        <w:rPr>
          <w:rFonts w:ascii="Times New Roman" w:eastAsia="Calibri" w:hAnsi="Times New Roman" w:cs="Times New Roman"/>
          <w:b/>
          <w:sz w:val="26"/>
          <w:szCs w:val="26"/>
          <w:lang w:val="bg-BG"/>
        </w:rPr>
      </w:pPr>
      <w:r w:rsidRPr="00E559A0">
        <w:rPr>
          <w:rFonts w:ascii="Times New Roman" w:eastAsia="Calibri" w:hAnsi="Times New Roman" w:cs="Times New Roman"/>
          <w:b/>
          <w:sz w:val="26"/>
          <w:szCs w:val="26"/>
          <w:lang w:val="bg-BG"/>
        </w:rPr>
        <w:t xml:space="preserve">за оценка на съответствието за достъпността на интернет страницата и мобилните приложения на </w:t>
      </w:r>
      <w:r w:rsidR="002A052C">
        <w:rPr>
          <w:rFonts w:ascii="Times New Roman" w:eastAsia="Calibri" w:hAnsi="Times New Roman" w:cs="Times New Roman"/>
          <w:b/>
          <w:sz w:val="26"/>
          <w:szCs w:val="26"/>
          <w:lang w:val="bg-BG"/>
        </w:rPr>
        <w:t xml:space="preserve">Община </w:t>
      </w:r>
      <w:r w:rsidR="00085DE0">
        <w:rPr>
          <w:rFonts w:ascii="Times New Roman" w:eastAsia="Calibri" w:hAnsi="Times New Roman" w:cs="Times New Roman"/>
          <w:b/>
          <w:sz w:val="26"/>
          <w:szCs w:val="26"/>
          <w:lang w:val="bg-BG"/>
        </w:rPr>
        <w:t>Монтана</w:t>
      </w:r>
      <w:r w:rsidRPr="00E559A0">
        <w:rPr>
          <w:rFonts w:ascii="Times New Roman" w:eastAsia="Calibri" w:hAnsi="Times New Roman" w:cs="Times New Roman"/>
          <w:b/>
          <w:sz w:val="26"/>
          <w:szCs w:val="26"/>
          <w:lang w:val="bg-BG"/>
        </w:rPr>
        <w:t xml:space="preserve"> </w:t>
      </w:r>
    </w:p>
    <w:p w:rsidR="0016144D" w:rsidRPr="0016144D" w:rsidRDefault="0016144D" w:rsidP="0016144D">
      <w:pPr>
        <w:jc w:val="center"/>
        <w:rPr>
          <w:b/>
          <w:sz w:val="28"/>
          <w:szCs w:val="28"/>
          <w:lang w:val="bg-BG"/>
        </w:rPr>
      </w:pPr>
    </w:p>
    <w:p w:rsidR="00664553" w:rsidRPr="00664553" w:rsidRDefault="00897332" w:rsidP="00664553">
      <w:pPr>
        <w:pStyle w:val="ListParagraph"/>
        <w:numPr>
          <w:ilvl w:val="0"/>
          <w:numId w:val="22"/>
        </w:numPr>
        <w:tabs>
          <w:tab w:val="left" w:pos="630"/>
        </w:tabs>
        <w:rPr>
          <w:rFonts w:ascii="Times New Roman" w:hAnsi="Times New Roman" w:cs="Times New Roman"/>
          <w:sz w:val="24"/>
          <w:szCs w:val="24"/>
          <w:lang w:val="bg-BG"/>
        </w:rPr>
      </w:pPr>
      <w:r w:rsidRPr="00664553">
        <w:rPr>
          <w:rFonts w:ascii="Times New Roman" w:hAnsi="Times New Roman" w:cs="Times New Roman"/>
          <w:b/>
          <w:sz w:val="24"/>
          <w:szCs w:val="24"/>
          <w:lang w:val="bg-BG"/>
        </w:rPr>
        <w:t>ВЪВЕДЕНИЕ</w:t>
      </w:r>
    </w:p>
    <w:p w:rsidR="00F35E91" w:rsidRPr="00664553" w:rsidRDefault="00664553" w:rsidP="00664553">
      <w:pPr>
        <w:tabs>
          <w:tab w:val="left" w:pos="630"/>
        </w:tabs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897332" w:rsidRPr="00664553">
        <w:rPr>
          <w:rFonts w:ascii="Times New Roman" w:hAnsi="Times New Roman" w:cs="Times New Roman"/>
          <w:sz w:val="24"/>
          <w:szCs w:val="24"/>
          <w:lang w:val="bg-BG"/>
        </w:rPr>
        <w:t xml:space="preserve">С настоящата </w:t>
      </w:r>
      <w:r w:rsidR="00241E76" w:rsidRPr="00664553">
        <w:rPr>
          <w:rFonts w:ascii="Times New Roman" w:hAnsi="Times New Roman" w:cs="Times New Roman"/>
          <w:sz w:val="24"/>
          <w:szCs w:val="24"/>
          <w:lang w:val="bg-BG"/>
        </w:rPr>
        <w:t>М</w:t>
      </w:r>
      <w:r w:rsidR="00897332" w:rsidRPr="00664553">
        <w:rPr>
          <w:rFonts w:ascii="Times New Roman" w:hAnsi="Times New Roman" w:cs="Times New Roman"/>
          <w:sz w:val="24"/>
          <w:szCs w:val="24"/>
          <w:lang w:val="bg-BG"/>
        </w:rPr>
        <w:t>етодика се установяват редът и условията за оценка на съответствието на интернет страницата и моб</w:t>
      </w:r>
      <w:r w:rsidR="005D578B" w:rsidRPr="00664553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897332" w:rsidRPr="00664553">
        <w:rPr>
          <w:rFonts w:ascii="Times New Roman" w:hAnsi="Times New Roman" w:cs="Times New Roman"/>
          <w:sz w:val="24"/>
          <w:szCs w:val="24"/>
          <w:lang w:val="bg-BG"/>
        </w:rPr>
        <w:t xml:space="preserve">лните приложения на </w:t>
      </w:r>
      <w:r w:rsidR="002A052C">
        <w:rPr>
          <w:rFonts w:ascii="Times New Roman" w:hAnsi="Times New Roman" w:cs="Times New Roman"/>
          <w:sz w:val="24"/>
          <w:szCs w:val="24"/>
          <w:lang w:val="bg-BG"/>
        </w:rPr>
        <w:t xml:space="preserve">Община </w:t>
      </w:r>
      <w:r w:rsidR="00085DE0">
        <w:rPr>
          <w:rFonts w:ascii="Times New Roman" w:hAnsi="Times New Roman" w:cs="Times New Roman"/>
          <w:sz w:val="24"/>
          <w:szCs w:val="24"/>
          <w:lang w:val="bg-BG"/>
        </w:rPr>
        <w:t>Монтана</w:t>
      </w:r>
      <w:r w:rsidR="005D578B" w:rsidRPr="006645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35E91" w:rsidRPr="00664553">
        <w:rPr>
          <w:rFonts w:ascii="Times New Roman" w:hAnsi="Times New Roman" w:cs="Times New Roman"/>
          <w:sz w:val="24"/>
          <w:szCs w:val="24"/>
          <w:lang w:val="bg-BG"/>
        </w:rPr>
        <w:t>с п</w:t>
      </w:r>
      <w:r w:rsidR="00F35E91" w:rsidRPr="0066455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ринципите за достъпност: пригодност за възприемане, пригодност за използване, разбираемост и устойчивост, залегнали в основата на хармонизирания европейски стандарт EN 301 549 v2.1.2 (2018-08), Accessibility requirements for ICT products and services</w:t>
      </w:r>
      <w:r w:rsidR="00F35E91" w:rsidRPr="005725AF">
        <w:rPr>
          <w:rFonts w:eastAsia="Times New Roman"/>
          <w:vertAlign w:val="superscript"/>
          <w:lang w:val="bg-BG" w:eastAsia="bg-BG"/>
        </w:rPr>
        <w:footnoteReference w:id="1"/>
      </w:r>
      <w:r w:rsidR="00F35E91" w:rsidRPr="0066455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който реферира към WCAG 2.1 (Web Content Accessibility Guidelines 2.1), ниво А и АА.</w:t>
      </w:r>
    </w:p>
    <w:p w:rsidR="00897332" w:rsidRDefault="00F35E91" w:rsidP="00897332">
      <w:pPr>
        <w:tabs>
          <w:tab w:val="left" w:pos="630"/>
        </w:tabs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  <w:t>С Методиката</w:t>
      </w:r>
      <w:r w:rsidR="00B6156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757CE">
        <w:rPr>
          <w:rFonts w:ascii="Times New Roman" w:hAnsi="Times New Roman" w:cs="Times New Roman"/>
          <w:sz w:val="24"/>
          <w:szCs w:val="24"/>
          <w:lang w:val="bg-BG"/>
        </w:rPr>
        <w:t xml:space="preserve">за оценка на съответствието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се </w:t>
      </w:r>
      <w:r w:rsidR="00617BA1">
        <w:rPr>
          <w:rFonts w:ascii="Times New Roman" w:hAnsi="Times New Roman" w:cs="Times New Roman"/>
          <w:sz w:val="24"/>
          <w:szCs w:val="24"/>
          <w:lang w:val="bg-BG"/>
        </w:rPr>
        <w:t xml:space="preserve">цели изпълнение на </w:t>
      </w:r>
      <w:r w:rsidR="005D578B">
        <w:rPr>
          <w:rFonts w:ascii="Times New Roman" w:hAnsi="Times New Roman" w:cs="Times New Roman"/>
          <w:sz w:val="24"/>
          <w:szCs w:val="24"/>
          <w:lang w:val="bg-BG"/>
        </w:rPr>
        <w:t>изискванията за достъпност</w:t>
      </w:r>
      <w:r w:rsidR="00477ECC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5D578B">
        <w:rPr>
          <w:rFonts w:ascii="Times New Roman" w:hAnsi="Times New Roman" w:cs="Times New Roman"/>
          <w:sz w:val="24"/>
          <w:szCs w:val="24"/>
          <w:lang w:val="bg-BG"/>
        </w:rPr>
        <w:t xml:space="preserve"> установени в </w:t>
      </w:r>
      <w:r w:rsidR="005D578B" w:rsidRPr="0089733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Директива (EС) 2016/2102 от 26 октомври 2016 г. (ОВ L 327 от 02.12.2016 г.)</w:t>
      </w:r>
      <w:r w:rsidR="005D578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</w:t>
      </w:r>
      <w:r w:rsidR="005D578B" w:rsidRPr="0089733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5D578B" w:rsidRPr="002A05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Закона за електронното управление (</w:t>
      </w:r>
      <w:r w:rsidR="002A052C" w:rsidRPr="002A05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изм. и доп. ДВ. бр.</w:t>
      </w:r>
      <w:r w:rsidR="002A05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2A052C" w:rsidRPr="002A05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15 от 22 Февруари 2022</w:t>
      </w:r>
      <w:r w:rsidR="002A05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2A052C" w:rsidRPr="002A05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г.</w:t>
      </w:r>
      <w:r w:rsidR="005D578B" w:rsidRPr="002A05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)</w:t>
      </w:r>
      <w:r w:rsidR="005D578B" w:rsidRPr="0089733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 Наредбата за общите изисквания към информационните системи, регистрите и електронните административни услуги (изм. и доп. ДВ. бр. 4</w:t>
      </w:r>
      <w:r w:rsidR="00070CA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7 от 2</w:t>
      </w:r>
      <w:r w:rsidR="005D578B" w:rsidRPr="0089733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4 </w:t>
      </w:r>
      <w:r w:rsidR="00070CA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юни 2022</w:t>
      </w:r>
      <w:r w:rsidR="005D578B" w:rsidRPr="0089733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г.)</w:t>
      </w:r>
      <w:r w:rsidR="00014ED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</w:t>
      </w:r>
      <w:r w:rsidR="005D578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8025F" w:rsidRPr="0028025F" w:rsidRDefault="00477ECC" w:rsidP="0028025F">
      <w:pPr>
        <w:pStyle w:val="ListParagraph"/>
        <w:spacing w:before="120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Извън обхвата на на</w:t>
      </w:r>
      <w:r w:rsidR="00FD6E39">
        <w:rPr>
          <w:rFonts w:ascii="Times New Roman" w:hAnsi="Times New Roman" w:cs="Times New Roman"/>
          <w:sz w:val="24"/>
          <w:szCs w:val="24"/>
          <w:lang w:val="bg-BG"/>
        </w:rPr>
        <w:t>стоящата методика са изключенията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FD6E39">
        <w:rPr>
          <w:rFonts w:ascii="Times New Roman" w:hAnsi="Times New Roman" w:cs="Times New Roman"/>
          <w:sz w:val="24"/>
          <w:szCs w:val="24"/>
          <w:lang w:val="bg-BG"/>
        </w:rPr>
        <w:t xml:space="preserve"> предвидени в </w:t>
      </w:r>
      <w:r w:rsidR="00FD6E39" w:rsidRPr="00FD6E3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Закон</w:t>
      </w:r>
      <w:r w:rsidR="00FD6E3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електронното управление</w:t>
      </w:r>
      <w:r w:rsidR="00FD6E39" w:rsidRPr="00FD6E3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съгласно чл. 58в, ал. 2 и параграф 46 от Преходни и </w:t>
      </w:r>
      <w:r w:rsidR="00B615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</w:t>
      </w:r>
      <w:r w:rsidR="00FD6E39" w:rsidRPr="00FD6E3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аключителни разпоредби към ЗИД на ЗЕУ</w:t>
      </w:r>
      <w:r w:rsidR="0028025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 </w:t>
      </w:r>
      <w:r w:rsidR="007A07C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изключенията поради прекомерна тежест с</w:t>
      </w:r>
      <w:r w:rsidR="007A07C4" w:rsidRPr="007A07C4">
        <w:rPr>
          <w:rFonts w:ascii="Times New Roman" w:eastAsia="Times New Roman" w:hAnsi="Times New Roman" w:cs="Times New Roman"/>
          <w:color w:val="0A0A0A"/>
          <w:sz w:val="24"/>
          <w:szCs w:val="24"/>
          <w:lang w:val="bg-BG"/>
        </w:rPr>
        <w:t>ъгласно чл. 58в, ал. 3 от ЗЕУ</w:t>
      </w:r>
      <w:r w:rsidR="0028025F">
        <w:rPr>
          <w:rFonts w:ascii="Times New Roman" w:eastAsia="Times New Roman" w:hAnsi="Times New Roman" w:cs="Times New Roman"/>
          <w:color w:val="0A0A0A"/>
          <w:sz w:val="24"/>
          <w:szCs w:val="24"/>
          <w:lang w:val="bg-BG"/>
        </w:rPr>
        <w:t>, за които се прилага реда по чл.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bg-BG"/>
        </w:rPr>
        <w:t xml:space="preserve"> </w:t>
      </w:r>
      <w:r w:rsidR="0028025F">
        <w:rPr>
          <w:rFonts w:ascii="Times New Roman" w:eastAsia="Times New Roman" w:hAnsi="Times New Roman" w:cs="Times New Roman"/>
          <w:color w:val="0A0A0A"/>
          <w:sz w:val="24"/>
          <w:szCs w:val="24"/>
          <w:lang w:val="bg-BG"/>
        </w:rPr>
        <w:t xml:space="preserve">32 от </w:t>
      </w:r>
      <w:r w:rsidR="0028025F" w:rsidRPr="0028025F">
        <w:rPr>
          <w:rFonts w:ascii="Times New Roman" w:eastAsia="Times New Roman" w:hAnsi="Times New Roman" w:cs="Times New Roman"/>
          <w:color w:val="0A0A0A"/>
          <w:sz w:val="24"/>
          <w:szCs w:val="24"/>
          <w:lang w:val="bg-BG"/>
        </w:rPr>
        <w:t xml:space="preserve">Вътрешните правила за предоставяне на електронни административни услуги от общинска администрация </w:t>
      </w:r>
      <w:r w:rsidR="00085DE0">
        <w:rPr>
          <w:rFonts w:ascii="Times New Roman" w:eastAsia="Times New Roman" w:hAnsi="Times New Roman" w:cs="Times New Roman"/>
          <w:color w:val="0A0A0A"/>
          <w:sz w:val="24"/>
          <w:szCs w:val="24"/>
          <w:lang w:val="bg-BG"/>
        </w:rPr>
        <w:t>Монтана</w:t>
      </w:r>
      <w:r w:rsidR="0028025F" w:rsidRPr="0028025F">
        <w:rPr>
          <w:rFonts w:ascii="Times New Roman" w:eastAsia="Times New Roman" w:hAnsi="Times New Roman" w:cs="Times New Roman"/>
          <w:color w:val="0A0A0A"/>
          <w:sz w:val="24"/>
          <w:szCs w:val="24"/>
          <w:lang w:val="bg-BG"/>
        </w:rPr>
        <w:t xml:space="preserve">. </w:t>
      </w:r>
    </w:p>
    <w:p w:rsidR="00FD6E39" w:rsidRPr="00FD6E39" w:rsidRDefault="00FD6E39" w:rsidP="0028025F">
      <w:pPr>
        <w:pStyle w:val="ListParagraph"/>
        <w:spacing w:before="120"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014EDE" w:rsidRPr="00014EDE" w:rsidRDefault="0002537F" w:rsidP="00FD065B">
      <w:pPr>
        <w:spacing w:after="120" w:line="240" w:lineRule="auto"/>
        <w:ind w:firstLine="63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Настоящата методика се прилага от служителите на </w:t>
      </w:r>
      <w:r w:rsidR="002A052C">
        <w:rPr>
          <w:rFonts w:ascii="Times New Roman" w:hAnsi="Times New Roman" w:cs="Times New Roman"/>
          <w:sz w:val="24"/>
          <w:szCs w:val="24"/>
          <w:lang w:val="bg-BG"/>
        </w:rPr>
        <w:t xml:space="preserve">Община </w:t>
      </w:r>
      <w:r w:rsidR="00085DE0">
        <w:rPr>
          <w:rFonts w:ascii="Times New Roman" w:hAnsi="Times New Roman" w:cs="Times New Roman"/>
          <w:sz w:val="24"/>
          <w:szCs w:val="24"/>
          <w:lang w:val="bg-BG"/>
        </w:rPr>
        <w:t>Монтана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извършване на самооценка на съответствието, както и в случаите на възлагане на оценка от трети лица</w:t>
      </w:r>
      <w:r w:rsidR="00CE1A93">
        <w:rPr>
          <w:rFonts w:ascii="Times New Roman" w:hAnsi="Times New Roman" w:cs="Times New Roman"/>
          <w:sz w:val="24"/>
          <w:szCs w:val="24"/>
          <w:lang w:val="bg-BG"/>
        </w:rPr>
        <w:t xml:space="preserve"> съгласно</w:t>
      </w:r>
      <w:r w:rsidR="00014EDE"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на Глава втора, </w:t>
      </w:r>
      <w:r w:rsidR="00014EDE" w:rsidRPr="00014EDE">
        <w:rPr>
          <w:rFonts w:ascii="Times New Roman" w:hAnsi="Times New Roman" w:cs="Times New Roman"/>
          <w:sz w:val="24"/>
          <w:szCs w:val="24"/>
          <w:lang w:val="bg-BG"/>
        </w:rPr>
        <w:t xml:space="preserve">Раздел </w:t>
      </w:r>
      <w:r w:rsidR="00014EDE" w:rsidRPr="00014EDE">
        <w:rPr>
          <w:rFonts w:ascii="Times New Roman" w:hAnsi="Times New Roman" w:cs="Times New Roman"/>
          <w:sz w:val="24"/>
          <w:szCs w:val="24"/>
        </w:rPr>
        <w:t>II</w:t>
      </w:r>
      <w:r w:rsidR="00014EDE">
        <w:rPr>
          <w:rFonts w:ascii="Times New Roman" w:hAnsi="Times New Roman" w:cs="Times New Roman"/>
          <w:sz w:val="24"/>
          <w:szCs w:val="24"/>
          <w:lang w:val="bg-BG"/>
        </w:rPr>
        <w:t xml:space="preserve"> „Достъпност на съдържанието на интернет сайта и мобилните приложения“ от Вътрешните правила за </w:t>
      </w:r>
      <w:r w:rsidR="000020C9">
        <w:rPr>
          <w:rFonts w:ascii="Times New Roman" w:hAnsi="Times New Roman" w:cs="Times New Roman"/>
          <w:sz w:val="24"/>
          <w:szCs w:val="24"/>
          <w:lang w:val="bg-BG"/>
        </w:rPr>
        <w:t xml:space="preserve">проектиране и </w:t>
      </w:r>
      <w:r w:rsidR="00014EDE">
        <w:rPr>
          <w:rFonts w:ascii="Times New Roman" w:hAnsi="Times New Roman" w:cs="Times New Roman"/>
          <w:sz w:val="24"/>
          <w:szCs w:val="24"/>
          <w:lang w:val="bg-BG"/>
        </w:rPr>
        <w:t xml:space="preserve">предоставяне на електронни административни услуги от </w:t>
      </w:r>
      <w:r w:rsidR="000020C9">
        <w:rPr>
          <w:rFonts w:ascii="Times New Roman" w:hAnsi="Times New Roman" w:cs="Times New Roman"/>
          <w:sz w:val="24"/>
          <w:szCs w:val="24"/>
          <w:lang w:val="bg-BG"/>
        </w:rPr>
        <w:t xml:space="preserve">Община </w:t>
      </w:r>
      <w:r w:rsidR="00085DE0">
        <w:rPr>
          <w:rFonts w:ascii="Times New Roman" w:hAnsi="Times New Roman" w:cs="Times New Roman"/>
          <w:sz w:val="24"/>
          <w:szCs w:val="24"/>
          <w:lang w:val="bg-BG"/>
        </w:rPr>
        <w:t>Монтана</w:t>
      </w:r>
      <w:r w:rsidR="00014EDE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F913B3" w:rsidRDefault="00F913B3" w:rsidP="00796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</w:pPr>
    </w:p>
    <w:p w:rsidR="00664553" w:rsidRDefault="002774EF" w:rsidP="00664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2774EF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2. </w:t>
      </w:r>
      <w:r w:rsidR="004C448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МЕТОДИ НА ОЦЕНКА НА СЪОТВЕТСТВИЕТО</w:t>
      </w:r>
      <w:r w:rsidR="00825B44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</w:p>
    <w:p w:rsidR="00664553" w:rsidRDefault="00664553" w:rsidP="00664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0C7137" w:rsidRDefault="002E71A8" w:rsidP="006645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E71A8">
        <w:rPr>
          <w:rFonts w:ascii="Times New Roman" w:hAnsi="Times New Roman" w:cs="Times New Roman"/>
          <w:b/>
          <w:sz w:val="24"/>
          <w:szCs w:val="24"/>
          <w:lang w:val="bg-BG"/>
        </w:rPr>
        <w:t>2.1. Метод на опростен</w:t>
      </w:r>
      <w:r w:rsidR="00FD6A0D">
        <w:rPr>
          <w:rFonts w:ascii="Times New Roman" w:hAnsi="Times New Roman" w:cs="Times New Roman"/>
          <w:b/>
          <w:sz w:val="24"/>
          <w:szCs w:val="24"/>
          <w:lang w:val="bg-BG"/>
        </w:rPr>
        <w:t>а оценка</w:t>
      </w:r>
      <w:r w:rsidR="00772FD1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</w:p>
    <w:p w:rsidR="00664553" w:rsidRPr="00664553" w:rsidRDefault="00664553" w:rsidP="00664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F77364" w:rsidRPr="004A70E9" w:rsidRDefault="00F77364" w:rsidP="00F7736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A70E9">
        <w:rPr>
          <w:rFonts w:ascii="Times New Roman" w:hAnsi="Times New Roman" w:cs="Times New Roman"/>
          <w:sz w:val="24"/>
          <w:szCs w:val="24"/>
          <w:lang w:val="bg-BG"/>
        </w:rPr>
        <w:t>Опростен</w:t>
      </w:r>
      <w:r w:rsidR="00743407" w:rsidRPr="004A70E9">
        <w:rPr>
          <w:rFonts w:ascii="Times New Roman" w:hAnsi="Times New Roman" w:cs="Times New Roman"/>
          <w:sz w:val="24"/>
          <w:szCs w:val="24"/>
          <w:lang w:val="bg-BG"/>
        </w:rPr>
        <w:t>ата</w:t>
      </w:r>
      <w:r w:rsidRPr="004A70E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43407" w:rsidRPr="004A70E9">
        <w:rPr>
          <w:rFonts w:ascii="Times New Roman" w:hAnsi="Times New Roman" w:cs="Times New Roman"/>
          <w:sz w:val="24"/>
          <w:szCs w:val="24"/>
          <w:lang w:val="bg-BG"/>
        </w:rPr>
        <w:t xml:space="preserve">оценка </w:t>
      </w:r>
      <w:r w:rsidRPr="004A70E9">
        <w:rPr>
          <w:rFonts w:ascii="Times New Roman" w:hAnsi="Times New Roman" w:cs="Times New Roman"/>
          <w:sz w:val="24"/>
          <w:szCs w:val="24"/>
          <w:lang w:val="bg-BG"/>
        </w:rPr>
        <w:t>има за цел да обхване следните потребителски нужди, свързани с достъпността, доколкото това е възможно чрез автоматизирани изпитвания:</w:t>
      </w:r>
    </w:p>
    <w:p w:rsidR="001E2B4B" w:rsidRPr="001E2B4B" w:rsidRDefault="001E2B4B" w:rsidP="00772FD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1E2B4B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използване при липса на зрение;</w:t>
      </w:r>
    </w:p>
    <w:p w:rsidR="001E2B4B" w:rsidRPr="001E2B4B" w:rsidRDefault="001E2B4B" w:rsidP="00772FD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1E2B4B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използване с ограничено зрение;</w:t>
      </w:r>
    </w:p>
    <w:p w:rsidR="001E2B4B" w:rsidRPr="001E2B4B" w:rsidRDefault="001E2B4B" w:rsidP="00772FD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1E2B4B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използване без възприемане на цветове;</w:t>
      </w:r>
    </w:p>
    <w:p w:rsidR="001E2B4B" w:rsidRPr="001E2B4B" w:rsidRDefault="001E2B4B" w:rsidP="00772FD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1E2B4B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използване при липса на слух;</w:t>
      </w:r>
    </w:p>
    <w:p w:rsidR="001E2B4B" w:rsidRPr="001E2B4B" w:rsidRDefault="001E2B4B" w:rsidP="00772FD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E2B4B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използване с ограничен слух;</w:t>
      </w:r>
    </w:p>
    <w:p w:rsidR="001E2B4B" w:rsidRPr="001E2B4B" w:rsidRDefault="001E2B4B" w:rsidP="00772FD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1E2B4B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използване без гласови способности;</w:t>
      </w:r>
    </w:p>
    <w:p w:rsidR="001E2B4B" w:rsidRPr="001E2B4B" w:rsidRDefault="001E2B4B" w:rsidP="00772FD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1E2B4B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използване с ограничени способности за боравене с ръце или сила;</w:t>
      </w:r>
    </w:p>
    <w:p w:rsidR="001E2B4B" w:rsidRPr="001E2B4B" w:rsidRDefault="001E2B4B" w:rsidP="00772FD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1E2B4B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необходимостта от свеждане до минимум на елементите, предизвикващи фотосензитивни епилептични припадъци;</w:t>
      </w:r>
    </w:p>
    <w:p w:rsidR="001E2B4B" w:rsidRPr="001E2B4B" w:rsidRDefault="001E2B4B" w:rsidP="00772FD1">
      <w:pPr>
        <w:numPr>
          <w:ilvl w:val="0"/>
          <w:numId w:val="9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1E2B4B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използване с ограничени когнитивни способности.</w:t>
      </w:r>
    </w:p>
    <w:p w:rsidR="001E2B4B" w:rsidRPr="001E2B4B" w:rsidRDefault="001E2B4B" w:rsidP="001E2B4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1E2B4B">
        <w:rPr>
          <w:rFonts w:ascii="Times New Roman" w:eastAsia="Calibri" w:hAnsi="Times New Roman" w:cs="Times New Roman"/>
          <w:sz w:val="24"/>
          <w:szCs w:val="24"/>
          <w:lang w:val="bg-BG"/>
        </w:rPr>
        <w:t>При метода на опростен</w:t>
      </w:r>
      <w:r w:rsidR="00E74661">
        <w:rPr>
          <w:rFonts w:ascii="Times New Roman" w:eastAsia="Calibri" w:hAnsi="Times New Roman" w:cs="Times New Roman"/>
          <w:sz w:val="24"/>
          <w:szCs w:val="24"/>
          <w:lang w:val="bg-BG"/>
        </w:rPr>
        <w:t>а</w:t>
      </w:r>
      <w:r w:rsidRPr="001E2B4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E7466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оценка </w:t>
      </w:r>
      <w:r w:rsidRPr="001E2B4B">
        <w:rPr>
          <w:rFonts w:ascii="Times New Roman" w:eastAsia="Calibri" w:hAnsi="Times New Roman" w:cs="Times New Roman"/>
          <w:sz w:val="24"/>
          <w:szCs w:val="24"/>
          <w:lang w:val="bg-BG"/>
        </w:rPr>
        <w:t>освен началната</w:t>
      </w:r>
      <w:r w:rsidRPr="001E2B4B">
        <w:rPr>
          <w:rFonts w:ascii="Times New Roman" w:eastAsia="Calibri" w:hAnsi="Times New Roman" w:cs="Times New Roman"/>
          <w:sz w:val="24"/>
          <w:lang w:val="bg-BG"/>
        </w:rPr>
        <w:t xml:space="preserve"> страница на </w:t>
      </w:r>
      <w:r w:rsidR="00E74661">
        <w:rPr>
          <w:rFonts w:ascii="Times New Roman" w:eastAsia="Calibri" w:hAnsi="Times New Roman" w:cs="Times New Roman"/>
          <w:sz w:val="24"/>
          <w:lang w:val="bg-BG"/>
        </w:rPr>
        <w:t xml:space="preserve">оценка </w:t>
      </w:r>
      <w:r w:rsidRPr="001E2B4B">
        <w:rPr>
          <w:rFonts w:ascii="Times New Roman" w:eastAsia="Calibri" w:hAnsi="Times New Roman" w:cs="Times New Roman"/>
          <w:sz w:val="24"/>
          <w:lang w:val="bg-BG"/>
        </w:rPr>
        <w:t>се подлага подходящ брой страници</w:t>
      </w:r>
      <w:r w:rsidR="004A4BC9">
        <w:rPr>
          <w:rFonts w:ascii="Times New Roman" w:eastAsia="Calibri" w:hAnsi="Times New Roman" w:cs="Times New Roman"/>
          <w:sz w:val="24"/>
          <w:lang w:val="bg-BG"/>
        </w:rPr>
        <w:t xml:space="preserve">. </w:t>
      </w:r>
      <w:r w:rsidRPr="001E2B4B">
        <w:rPr>
          <w:rFonts w:ascii="Times New Roman" w:eastAsia="Calibri" w:hAnsi="Times New Roman" w:cs="Times New Roman"/>
          <w:sz w:val="24"/>
          <w:lang w:val="bg-BG"/>
        </w:rPr>
        <w:t xml:space="preserve"> </w:t>
      </w:r>
    </w:p>
    <w:p w:rsidR="00D24187" w:rsidRDefault="00D24187" w:rsidP="00772FD1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664553" w:rsidRDefault="00772FD1" w:rsidP="0066455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72FD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2</w:t>
      </w:r>
      <w:r w:rsidRPr="00772FD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. Метод 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задълбочен</w:t>
      </w:r>
      <w:r w:rsidR="00FD6A0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="00FD6A0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оценка.</w:t>
      </w:r>
    </w:p>
    <w:p w:rsidR="00664553" w:rsidRDefault="00664553" w:rsidP="0066455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772FD1" w:rsidRPr="00772FD1" w:rsidRDefault="00D24187" w:rsidP="0066455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Чрез </w:t>
      </w:r>
      <w:r w:rsidR="00772FD1" w:rsidRPr="00772FD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метода на задълбочен</w:t>
      </w:r>
      <w:r w:rsidR="00FD6A0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</w:t>
      </w:r>
      <w:r w:rsidR="00772FD1" w:rsidRPr="00772FD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D6A0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оценка </w:t>
      </w:r>
      <w:r w:rsidR="00772FD1" w:rsidRPr="00772FD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се проверяват всички етапи от процесите в извадката, като се следва поне последователността по подразбиране за приключване на процеса. Оценява се като минимум:</w:t>
      </w:r>
    </w:p>
    <w:p w:rsidR="00772FD1" w:rsidRPr="00CE1A93" w:rsidRDefault="00772FD1" w:rsidP="00CE1A93">
      <w:pPr>
        <w:pStyle w:val="ListParagraph"/>
        <w:numPr>
          <w:ilvl w:val="0"/>
          <w:numId w:val="23"/>
        </w:numPr>
        <w:tabs>
          <w:tab w:val="left" w:pos="99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E1A9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взаимодействието с формулярите; </w:t>
      </w:r>
    </w:p>
    <w:p w:rsidR="00772FD1" w:rsidRPr="00CE1A93" w:rsidRDefault="00772FD1" w:rsidP="00CE1A93">
      <w:pPr>
        <w:pStyle w:val="ListParagraph"/>
        <w:numPr>
          <w:ilvl w:val="0"/>
          <w:numId w:val="23"/>
        </w:numPr>
        <w:tabs>
          <w:tab w:val="left" w:pos="99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E1A9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елементите на интерфейса, с коит</w:t>
      </w:r>
      <w:r w:rsidR="0067432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 потребителите взаимодействат /контролите/</w:t>
      </w:r>
      <w:r w:rsidRPr="00CE1A9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772FD1" w:rsidRPr="00CE1A93" w:rsidRDefault="00772FD1" w:rsidP="00CE1A93">
      <w:pPr>
        <w:pStyle w:val="ListParagraph"/>
        <w:numPr>
          <w:ilvl w:val="0"/>
          <w:numId w:val="23"/>
        </w:numPr>
        <w:tabs>
          <w:tab w:val="left" w:pos="99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E1A9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диалоговите прозорци;</w:t>
      </w:r>
    </w:p>
    <w:p w:rsidR="00772FD1" w:rsidRPr="00CE1A93" w:rsidRDefault="00772FD1" w:rsidP="00CE1A93">
      <w:pPr>
        <w:pStyle w:val="ListParagraph"/>
        <w:numPr>
          <w:ilvl w:val="0"/>
          <w:numId w:val="23"/>
        </w:numPr>
        <w:tabs>
          <w:tab w:val="left" w:pos="99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E1A9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потвържденията за въвеждане на данни;</w:t>
      </w:r>
    </w:p>
    <w:p w:rsidR="00772FD1" w:rsidRPr="00CE1A93" w:rsidRDefault="00772FD1" w:rsidP="00CE1A93">
      <w:pPr>
        <w:pStyle w:val="ListParagraph"/>
        <w:numPr>
          <w:ilvl w:val="0"/>
          <w:numId w:val="23"/>
        </w:numPr>
        <w:tabs>
          <w:tab w:val="left" w:pos="99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E1A9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съобщенията за грешки и друга обратна информация в резултат от взаимодействие</w:t>
      </w:r>
      <w:r w:rsidR="00CE1A9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то с потребителя, когато това е </w:t>
      </w:r>
      <w:r w:rsidRPr="00CE1A9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възможно;</w:t>
      </w:r>
    </w:p>
    <w:p w:rsidR="00772FD1" w:rsidRPr="00CE1A93" w:rsidRDefault="00772FD1" w:rsidP="00CE1A93">
      <w:pPr>
        <w:pStyle w:val="ListParagraph"/>
        <w:numPr>
          <w:ilvl w:val="0"/>
          <w:numId w:val="23"/>
        </w:numPr>
        <w:tabs>
          <w:tab w:val="left" w:pos="99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E1A9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поведението на уебсайта/мобилното приложение, когато се прилагат различни настройки и предпочитания</w:t>
      </w:r>
      <w:r w:rsidR="00CE1A93" w:rsidRPr="00CE1A9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2D598C" w:rsidRPr="00CE1A93" w:rsidRDefault="002D598C" w:rsidP="00CE1A93">
      <w:pPr>
        <w:pStyle w:val="ListParagraph"/>
        <w:numPr>
          <w:ilvl w:val="0"/>
          <w:numId w:val="23"/>
        </w:numPr>
        <w:tabs>
          <w:tab w:val="left" w:pos="99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E1A9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наблюдение и анализ на начина, по който потребителите с увреждания възприемат съдържа</w:t>
      </w:r>
      <w:r w:rsidR="00CE1A9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нието на уебсайта или </w:t>
      </w:r>
      <w:r w:rsidRPr="00CE1A9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мобилното приложение и колко сложно е за тях да използват компоненти на инте</w:t>
      </w:r>
      <w:r w:rsidR="00CE1A93" w:rsidRPr="00CE1A9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рфейса като менюта за навигация </w:t>
      </w:r>
      <w:r w:rsidRPr="00CE1A9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или формуляри.</w:t>
      </w:r>
    </w:p>
    <w:p w:rsidR="00772FD1" w:rsidRPr="00664553" w:rsidRDefault="003F6629" w:rsidP="003F6629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664553">
        <w:rPr>
          <w:rFonts w:ascii="Times New Roman" w:eastAsia="Calibri" w:hAnsi="Times New Roman" w:cs="Times New Roman"/>
          <w:sz w:val="24"/>
          <w:lang w:val="bg-BG"/>
        </w:rPr>
        <w:t xml:space="preserve">* </w:t>
      </w:r>
      <w:r w:rsidR="00772FD1" w:rsidRPr="00664553">
        <w:rPr>
          <w:rFonts w:ascii="Times New Roman" w:eastAsia="Calibri" w:hAnsi="Times New Roman" w:cs="Times New Roman"/>
          <w:sz w:val="24"/>
          <w:lang w:val="bg-BG"/>
        </w:rPr>
        <w:t xml:space="preserve">За целите на </w:t>
      </w:r>
      <w:r w:rsidRPr="00664553">
        <w:rPr>
          <w:rFonts w:ascii="Times New Roman" w:eastAsia="Calibri" w:hAnsi="Times New Roman" w:cs="Times New Roman"/>
          <w:sz w:val="24"/>
          <w:lang w:val="bg-BG"/>
        </w:rPr>
        <w:t xml:space="preserve">оценката </w:t>
      </w:r>
      <w:r w:rsidR="00772FD1" w:rsidRPr="00664553">
        <w:rPr>
          <w:rFonts w:ascii="Times New Roman" w:eastAsia="Calibri" w:hAnsi="Times New Roman" w:cs="Times New Roman"/>
          <w:sz w:val="24"/>
          <w:lang w:val="bg-BG"/>
        </w:rPr>
        <w:t>„страница“ означава уебстраница или екран от мобилно приложение.</w:t>
      </w:r>
    </w:p>
    <w:p w:rsidR="00825B44" w:rsidRPr="00664553" w:rsidRDefault="00825B44" w:rsidP="00825B44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96CA1" w:rsidRPr="00696CA1" w:rsidRDefault="00546D04" w:rsidP="00696CA1">
      <w:pPr>
        <w:pStyle w:val="ListParagraph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96CA1">
        <w:rPr>
          <w:rFonts w:ascii="Times New Roman" w:hAnsi="Times New Roman" w:cs="Times New Roman"/>
          <w:b/>
          <w:sz w:val="24"/>
          <w:szCs w:val="24"/>
          <w:lang w:val="bg-BG"/>
        </w:rPr>
        <w:t>ПОДБОР НА ИЗВАДКА</w:t>
      </w:r>
    </w:p>
    <w:p w:rsidR="00696CA1" w:rsidRPr="00696CA1" w:rsidRDefault="00696CA1" w:rsidP="00696CA1">
      <w:pPr>
        <w:pStyle w:val="ListParagraph"/>
        <w:spacing w:after="120" w:line="240" w:lineRule="auto"/>
        <w:ind w:left="99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46D04" w:rsidRPr="00664553" w:rsidRDefault="00546D04" w:rsidP="00664553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64553">
        <w:rPr>
          <w:rFonts w:ascii="Times New Roman" w:eastAsia="Calibri" w:hAnsi="Times New Roman" w:cs="Times New Roman"/>
          <w:sz w:val="24"/>
          <w:lang w:val="bg-BG"/>
        </w:rPr>
        <w:t xml:space="preserve">При подбора на извадка от страници за целите на установяване на съответствието следва да бъде приложен подход, основан на риска, като се вземат предвид: </w:t>
      </w:r>
    </w:p>
    <w:p w:rsidR="00546D04" w:rsidRPr="00664553" w:rsidRDefault="00546D04" w:rsidP="00546D04">
      <w:pPr>
        <w:pStyle w:val="ListParagraph"/>
        <w:numPr>
          <w:ilvl w:val="0"/>
          <w:numId w:val="10"/>
        </w:numPr>
        <w:tabs>
          <w:tab w:val="left" w:pos="1276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664553">
        <w:rPr>
          <w:rFonts w:ascii="Times New Roman" w:eastAsia="Calibri" w:hAnsi="Times New Roman" w:cs="Times New Roman"/>
          <w:sz w:val="24"/>
          <w:lang w:val="bg-BG"/>
        </w:rPr>
        <w:t>специфик</w:t>
      </w:r>
      <w:r w:rsidR="00B41ACE">
        <w:rPr>
          <w:rFonts w:ascii="Times New Roman" w:eastAsia="Calibri" w:hAnsi="Times New Roman" w:cs="Times New Roman"/>
          <w:sz w:val="24"/>
          <w:lang w:val="bg-BG"/>
        </w:rPr>
        <w:t>ата на съдържанието на</w:t>
      </w:r>
      <w:r w:rsidRPr="00664553">
        <w:rPr>
          <w:rFonts w:ascii="Times New Roman" w:eastAsia="Calibri" w:hAnsi="Times New Roman" w:cs="Times New Roman"/>
          <w:sz w:val="24"/>
          <w:lang w:val="bg-BG"/>
        </w:rPr>
        <w:t xml:space="preserve"> отделните страници и техните потенциални потребители;</w:t>
      </w:r>
    </w:p>
    <w:p w:rsidR="00546D04" w:rsidRPr="00664553" w:rsidRDefault="00546D04" w:rsidP="00546D04">
      <w:pPr>
        <w:pStyle w:val="ListParagraph"/>
        <w:numPr>
          <w:ilvl w:val="0"/>
          <w:numId w:val="10"/>
        </w:numPr>
        <w:tabs>
          <w:tab w:val="left" w:pos="1276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664553">
        <w:rPr>
          <w:rFonts w:ascii="Times New Roman" w:eastAsia="Calibri" w:hAnsi="Times New Roman" w:cs="Times New Roman"/>
          <w:sz w:val="24"/>
          <w:lang w:val="bg-BG"/>
        </w:rPr>
        <w:t>уведомленията, получени посредством механизма за предоставяне на обратна информация /получени жалби и сигнали/;</w:t>
      </w:r>
    </w:p>
    <w:p w:rsidR="00546D04" w:rsidRPr="00664553" w:rsidRDefault="00546D04" w:rsidP="00546D04">
      <w:pPr>
        <w:pStyle w:val="ListParagraph"/>
        <w:numPr>
          <w:ilvl w:val="0"/>
          <w:numId w:val="10"/>
        </w:numPr>
        <w:tabs>
          <w:tab w:val="left" w:pos="1276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664553">
        <w:rPr>
          <w:rFonts w:ascii="Times New Roman" w:eastAsia="Calibri" w:hAnsi="Times New Roman" w:cs="Times New Roman"/>
          <w:sz w:val="24"/>
          <w:lang w:val="bg-BG"/>
        </w:rPr>
        <w:t>резултатите от предходна оценка;</w:t>
      </w:r>
    </w:p>
    <w:p w:rsidR="00546D04" w:rsidRPr="00664553" w:rsidRDefault="00AC10E1" w:rsidP="00546D04">
      <w:pPr>
        <w:pStyle w:val="ListParagraph"/>
        <w:numPr>
          <w:ilvl w:val="0"/>
          <w:numId w:val="10"/>
        </w:numPr>
        <w:tabs>
          <w:tab w:val="left" w:pos="1276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>
        <w:rPr>
          <w:rFonts w:ascii="Times New Roman" w:eastAsia="Calibri" w:hAnsi="Times New Roman" w:cs="Times New Roman"/>
          <w:sz w:val="24"/>
          <w:lang w:val="bg-BG"/>
        </w:rPr>
        <w:t xml:space="preserve">указанията на </w:t>
      </w:r>
      <w:r w:rsidR="009B77BF">
        <w:rPr>
          <w:rFonts w:ascii="Times New Roman" w:eastAsia="Calibri" w:hAnsi="Times New Roman" w:cs="Times New Roman"/>
          <w:sz w:val="24"/>
          <w:lang w:val="bg-BG"/>
        </w:rPr>
        <w:t>МЕУ</w:t>
      </w:r>
      <w:r>
        <w:rPr>
          <w:rFonts w:ascii="Times New Roman" w:eastAsia="Calibri" w:hAnsi="Times New Roman" w:cs="Times New Roman"/>
          <w:sz w:val="24"/>
          <w:lang w:val="bg-BG"/>
        </w:rPr>
        <w:t>.</w:t>
      </w:r>
    </w:p>
    <w:p w:rsidR="00092F4C" w:rsidRPr="00664553" w:rsidRDefault="00092F4C" w:rsidP="00092F4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6455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При прилагане на метода на задълбочена оценка </w:t>
      </w:r>
      <w:r w:rsidR="00CA1BE2" w:rsidRPr="0066455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се включват </w:t>
      </w:r>
      <w:r w:rsidRPr="0066455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следните </w:t>
      </w:r>
      <w:r w:rsidR="006C77C8" w:rsidRPr="0066455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единични </w:t>
      </w:r>
      <w:r w:rsidRPr="00664553">
        <w:rPr>
          <w:rFonts w:ascii="Times New Roman" w:eastAsia="Calibri" w:hAnsi="Times New Roman" w:cs="Times New Roman"/>
          <w:sz w:val="24"/>
          <w:szCs w:val="24"/>
          <w:lang w:val="bg-BG"/>
        </w:rPr>
        <w:t>страници и документи:</w:t>
      </w:r>
    </w:p>
    <w:p w:rsidR="00092F4C" w:rsidRPr="00664553" w:rsidRDefault="00092F4C" w:rsidP="00092F4C">
      <w:pPr>
        <w:pStyle w:val="ListParagraph"/>
        <w:numPr>
          <w:ilvl w:val="0"/>
          <w:numId w:val="13"/>
        </w:numPr>
        <w:spacing w:after="120" w:line="24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64553">
        <w:rPr>
          <w:rFonts w:ascii="Times New Roman" w:eastAsia="Calibri" w:hAnsi="Times New Roman" w:cs="Times New Roman"/>
          <w:sz w:val="24"/>
          <w:szCs w:val="24"/>
          <w:lang w:val="bg-BG"/>
        </w:rPr>
        <w:t>началната страница, страницата за влизане, картата на сайта, страниците за контакт, помощ и правна информация;</w:t>
      </w:r>
    </w:p>
    <w:p w:rsidR="00092F4C" w:rsidRPr="00664553" w:rsidRDefault="00092F4C" w:rsidP="00092F4C">
      <w:pPr>
        <w:pStyle w:val="ListParagraph"/>
        <w:numPr>
          <w:ilvl w:val="0"/>
          <w:numId w:val="13"/>
        </w:numPr>
        <w:spacing w:after="120" w:line="24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64553">
        <w:rPr>
          <w:rFonts w:ascii="Times New Roman" w:eastAsia="Calibri" w:hAnsi="Times New Roman" w:cs="Times New Roman"/>
          <w:sz w:val="24"/>
          <w:szCs w:val="24"/>
          <w:lang w:val="bg-BG"/>
        </w:rPr>
        <w:t>поне една представителна страница за всеки вид услуга, предоставяна от уебсайта или мобилното приложение, и всякакви други основни предназначения, включително функцията за търсене;</w:t>
      </w:r>
    </w:p>
    <w:p w:rsidR="00092F4C" w:rsidRPr="00664553" w:rsidRDefault="00092F4C" w:rsidP="00092F4C">
      <w:pPr>
        <w:pStyle w:val="ListParagraph"/>
        <w:numPr>
          <w:ilvl w:val="0"/>
          <w:numId w:val="13"/>
        </w:numPr>
        <w:spacing w:after="120" w:line="24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64553">
        <w:rPr>
          <w:rFonts w:ascii="Times New Roman" w:eastAsia="Calibri" w:hAnsi="Times New Roman" w:cs="Times New Roman"/>
          <w:sz w:val="24"/>
          <w:szCs w:val="24"/>
          <w:lang w:val="bg-BG"/>
        </w:rPr>
        <w:t>страниците, съдържащи декларацията или политиката за достъпност, и страниците, съдържащи механизма за предоставяне на обратна информация;</w:t>
      </w:r>
    </w:p>
    <w:p w:rsidR="00092F4C" w:rsidRPr="00664553" w:rsidRDefault="00092F4C" w:rsidP="00092F4C">
      <w:pPr>
        <w:pStyle w:val="ListParagraph"/>
        <w:numPr>
          <w:ilvl w:val="0"/>
          <w:numId w:val="13"/>
        </w:numPr>
        <w:spacing w:after="120" w:line="24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64553">
        <w:rPr>
          <w:rFonts w:ascii="Times New Roman" w:eastAsia="Calibri" w:hAnsi="Times New Roman" w:cs="Times New Roman"/>
          <w:sz w:val="24"/>
          <w:szCs w:val="24"/>
          <w:lang w:val="bg-BG"/>
        </w:rPr>
        <w:t>поне един представителен документ, който може да се изтегли, за всеки вид услуга, предоставяна от уебсайта или мобилното приложение, и за всякакви други основни предназначения;</w:t>
      </w:r>
    </w:p>
    <w:p w:rsidR="00092F4C" w:rsidRPr="00664553" w:rsidRDefault="00092F4C" w:rsidP="00092F4C">
      <w:pPr>
        <w:pStyle w:val="ListParagraph"/>
        <w:numPr>
          <w:ilvl w:val="0"/>
          <w:numId w:val="13"/>
        </w:numPr>
        <w:spacing w:after="120" w:line="24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64553">
        <w:rPr>
          <w:rFonts w:ascii="Times New Roman" w:eastAsia="Calibri" w:hAnsi="Times New Roman" w:cs="Times New Roman"/>
          <w:sz w:val="24"/>
          <w:szCs w:val="24"/>
          <w:lang w:val="bg-BG"/>
        </w:rPr>
        <w:t>страници, подбрани на случаен принцип в размер на най-малко 10 % от извадката, под</w:t>
      </w:r>
      <w:r w:rsidR="00553622">
        <w:rPr>
          <w:rFonts w:ascii="Times New Roman" w:eastAsia="Calibri" w:hAnsi="Times New Roman" w:cs="Times New Roman"/>
          <w:sz w:val="24"/>
          <w:szCs w:val="24"/>
          <w:lang w:val="bg-BG"/>
        </w:rPr>
        <w:t>брана в съответствие с букви а - г</w:t>
      </w:r>
      <w:r w:rsidRPr="00664553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092F4C" w:rsidRPr="00664553" w:rsidRDefault="00092F4C" w:rsidP="00092F4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64553">
        <w:rPr>
          <w:rFonts w:ascii="Times New Roman" w:eastAsia="Calibri" w:hAnsi="Times New Roman" w:cs="Times New Roman"/>
          <w:sz w:val="24"/>
          <w:szCs w:val="24"/>
          <w:lang w:val="bg-BG"/>
        </w:rPr>
        <w:t>Ако някоя от страниците в извадката включва етап от процес, всички етапи на процеса трябва се проверят, като се следва последователността, използвана по подразбиране за приключване на процеса.</w:t>
      </w:r>
    </w:p>
    <w:p w:rsidR="003964E8" w:rsidRDefault="003964E8" w:rsidP="003964E8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64553" w:rsidRDefault="00297A2A" w:rsidP="00664553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="003964E8" w:rsidRPr="003964E8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AF1C2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МЕТОДИ И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ИНСТРУМЕНТИ ЗА</w:t>
      </w:r>
      <w:r w:rsidR="00AF1C2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ТЕСТВАНЕ</w:t>
      </w:r>
      <w:r w:rsidR="003964E8" w:rsidRPr="003964E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664553" w:rsidRDefault="00664553" w:rsidP="00664553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C77C8" w:rsidRPr="00664553" w:rsidRDefault="006C77C8" w:rsidP="00664553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4.1. А</w:t>
      </w:r>
      <w:r w:rsidRPr="006C77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  <w:t>втоматично тестване</w:t>
      </w:r>
      <w:r w:rsidR="00D046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  <w:t>.</w:t>
      </w:r>
    </w:p>
    <w:p w:rsidR="006C77C8" w:rsidRDefault="006C77C8" w:rsidP="006C77C8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6C77C8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Методът на автоматичното тестване се осъществява чрез програмни продукти и уеб базирани инструменти, проверяващи единична уеб страница или цялост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ния</w:t>
      </w:r>
      <w:r w:rsidRPr="006C77C8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уеб сайт. </w:t>
      </w:r>
    </w:p>
    <w:p w:rsidR="006C77C8" w:rsidRDefault="006C77C8" w:rsidP="006C77C8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За целите на автоматичното тестване могат се използват следните инструменти: </w:t>
      </w:r>
    </w:p>
    <w:p w:rsidR="006C77C8" w:rsidRPr="007B7211" w:rsidRDefault="00674327" w:rsidP="00F33A3F">
      <w:pPr>
        <w:pStyle w:val="ListParagraph"/>
        <w:numPr>
          <w:ilvl w:val="0"/>
          <w:numId w:val="2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WAVE Web Accessibility Tool /</w:t>
      </w:r>
      <w:hyperlink r:id="rId8" w:history="1">
        <w:r w:rsidR="006C77C8" w:rsidRPr="007B721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bg-BG"/>
          </w:rPr>
          <w:t>http://wave.webaim.org/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</w:t>
      </w:r>
      <w:r w:rsidR="006C77C8" w:rsidRPr="007B721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на WebAIM</w:t>
      </w:r>
      <w:r w:rsidR="0071436F" w:rsidRPr="007B721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71436F" w:rsidRPr="007B7211" w:rsidRDefault="0071436F" w:rsidP="00F33A3F">
      <w:pPr>
        <w:pStyle w:val="ListParagraph"/>
        <w:numPr>
          <w:ilvl w:val="0"/>
          <w:numId w:val="25"/>
        </w:numPr>
        <w:spacing w:before="120" w:after="120" w:line="240" w:lineRule="auto"/>
        <w:jc w:val="both"/>
        <w:outlineLvl w:val="2"/>
        <w:rPr>
          <w:rFonts w:ascii="Times New Roman" w:eastAsia="Calibri" w:hAnsi="Times New Roman" w:cs="Times New Roman"/>
          <w:noProof/>
          <w:sz w:val="24"/>
          <w:lang w:val="bg-BG"/>
        </w:rPr>
      </w:pPr>
      <w:r w:rsidRPr="007B721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W3 HTML Validator  </w:t>
      </w:r>
      <w:r w:rsidR="00674327">
        <w:rPr>
          <w:rFonts w:ascii="Times New Roman" w:eastAsia="Calibri" w:hAnsi="Times New Roman" w:cs="Times New Roman"/>
          <w:noProof/>
          <w:sz w:val="24"/>
          <w:lang w:val="bg-BG"/>
        </w:rPr>
        <w:t>/</w:t>
      </w:r>
      <w:hyperlink r:id="rId9" w:history="1">
        <w:r w:rsidRPr="007B7211">
          <w:rPr>
            <w:rFonts w:ascii="Times New Roman" w:eastAsia="Calibri" w:hAnsi="Times New Roman" w:cs="Times New Roman"/>
            <w:noProof/>
            <w:color w:val="0563C1"/>
            <w:sz w:val="24"/>
            <w:u w:val="single"/>
            <w:lang w:val="bg-BG"/>
          </w:rPr>
          <w:t>https://validator.w3.org/</w:t>
        </w:r>
      </w:hyperlink>
      <w:r w:rsidR="00674327">
        <w:rPr>
          <w:rFonts w:ascii="Times New Roman" w:eastAsia="Calibri" w:hAnsi="Times New Roman" w:cs="Times New Roman"/>
          <w:noProof/>
          <w:sz w:val="24"/>
          <w:lang w:val="bg-BG"/>
        </w:rPr>
        <w:t>/</w:t>
      </w:r>
      <w:r w:rsidRPr="007B7211">
        <w:rPr>
          <w:rFonts w:ascii="Times New Roman" w:eastAsia="Calibri" w:hAnsi="Times New Roman" w:cs="Times New Roman"/>
          <w:b/>
          <w:noProof/>
          <w:sz w:val="24"/>
          <w:lang w:val="bg-BG"/>
        </w:rPr>
        <w:t xml:space="preserve"> </w:t>
      </w:r>
      <w:r w:rsidRPr="007B7211">
        <w:rPr>
          <w:rFonts w:ascii="Times New Roman" w:eastAsia="Calibri" w:hAnsi="Times New Roman" w:cs="Times New Roman"/>
          <w:noProof/>
          <w:sz w:val="24"/>
          <w:lang w:val="bg-BG"/>
        </w:rPr>
        <w:t>на</w:t>
      </w:r>
      <w:r w:rsidRPr="007B7211">
        <w:rPr>
          <w:rFonts w:ascii="Times New Roman" w:eastAsia="Calibri" w:hAnsi="Times New Roman" w:cs="Times New Roman"/>
          <w:b/>
          <w:noProof/>
          <w:sz w:val="24"/>
          <w:lang w:val="bg-BG"/>
        </w:rPr>
        <w:t xml:space="preserve"> </w:t>
      </w:r>
      <w:r w:rsidRPr="007B7211">
        <w:rPr>
          <w:rFonts w:ascii="Times New Roman" w:eastAsia="Calibri" w:hAnsi="Times New Roman" w:cs="Times New Roman"/>
          <w:noProof/>
          <w:sz w:val="24"/>
          <w:lang w:val="bg-BG"/>
        </w:rPr>
        <w:t>W3C;</w:t>
      </w:r>
    </w:p>
    <w:p w:rsidR="007B7211" w:rsidRPr="007B7211" w:rsidRDefault="00674327" w:rsidP="00F33A3F">
      <w:pPr>
        <w:pStyle w:val="ListParagraph"/>
        <w:numPr>
          <w:ilvl w:val="0"/>
          <w:numId w:val="25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CheckMyColours /</w:t>
      </w:r>
      <w:hyperlink r:id="rId10" w:history="1">
        <w:r w:rsidR="007B7211" w:rsidRPr="007B721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bg-BG"/>
          </w:rPr>
          <w:t>https://www.checkmycolours.com/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/</w:t>
      </w:r>
      <w:r w:rsidR="007B7211" w:rsidRPr="007B721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="007B7211" w:rsidRPr="007B721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базирани на алгоритмите, предложени от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World Wide Web Consortium /W3C/</w:t>
      </w:r>
      <w:r w:rsidR="006D1447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7B7211" w:rsidRPr="007B7211" w:rsidRDefault="00B366AA" w:rsidP="00B366AA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Посочените инструменти не изключват използването на други такива по преценка на оценителите. </w:t>
      </w:r>
      <w:r w:rsidRPr="00B366AA">
        <w:rPr>
          <w:rFonts w:ascii="Times New Roman" w:eastAsia="Calibri" w:hAnsi="Times New Roman" w:cs="Times New Roman"/>
          <w:noProof/>
          <w:sz w:val="24"/>
          <w:lang w:val="bg-BG"/>
        </w:rPr>
        <w:t>Списък на повече от 100 инструменти на организацията W3</w:t>
      </w:r>
      <w:r w:rsidR="006D1447">
        <w:rPr>
          <w:rFonts w:ascii="Times New Roman" w:eastAsia="Calibri" w:hAnsi="Times New Roman" w:cs="Times New Roman"/>
          <w:noProof/>
          <w:sz w:val="24"/>
          <w:lang w:val="bg-BG"/>
        </w:rPr>
        <w:t>C</w:t>
      </w:r>
      <w:r w:rsidRPr="00B366AA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B366AA">
        <w:rPr>
          <w:rFonts w:ascii="Times New Roman" w:eastAsia="Calibri" w:hAnsi="Times New Roman" w:cs="Times New Roman"/>
          <w:noProof/>
          <w:sz w:val="24"/>
          <w:lang w:val="bg-BG"/>
        </w:rPr>
        <w:t xml:space="preserve">е достъпен на адрес: </w:t>
      </w:r>
      <w:hyperlink r:id="rId11" w:history="1">
        <w:r w:rsidRPr="00B366AA">
          <w:rPr>
            <w:rFonts w:ascii="Times New Roman" w:eastAsia="Calibri" w:hAnsi="Times New Roman" w:cs="Times New Roman"/>
            <w:noProof/>
            <w:color w:val="0000FF"/>
            <w:sz w:val="24"/>
            <w:u w:val="single"/>
            <w:lang w:val="bg-BG"/>
          </w:rPr>
          <w:t>https://www.w3.org/WAI/ER/tools/</w:t>
        </w:r>
      </w:hyperlink>
      <w:r w:rsidRPr="00B366AA">
        <w:rPr>
          <w:rFonts w:ascii="Times New Roman" w:eastAsia="Calibri" w:hAnsi="Times New Roman" w:cs="Times New Roman"/>
          <w:noProof/>
          <w:sz w:val="24"/>
          <w:lang w:val="bg-BG"/>
        </w:rPr>
        <w:t>.</w:t>
      </w:r>
    </w:p>
    <w:p w:rsidR="00664553" w:rsidRDefault="00664553" w:rsidP="00D04616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04616" w:rsidRDefault="00D04616" w:rsidP="00D04616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04616">
        <w:rPr>
          <w:rFonts w:ascii="Times New Roman" w:hAnsi="Times New Roman" w:cs="Times New Roman"/>
          <w:b/>
          <w:sz w:val="24"/>
          <w:szCs w:val="24"/>
          <w:lang w:val="bg-BG"/>
        </w:rPr>
        <w:t>4.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 w:rsidRPr="00D04616">
        <w:rPr>
          <w:rFonts w:ascii="Times New Roman" w:hAnsi="Times New Roman" w:cs="Times New Roman"/>
          <w:b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Ръчно тестване. </w:t>
      </w:r>
    </w:p>
    <w:p w:rsidR="00664553" w:rsidRDefault="00875624" w:rsidP="0066455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Чрез метода </w:t>
      </w:r>
      <w:r w:rsidR="00D04616" w:rsidRPr="00D0461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ръчно тестване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се </w:t>
      </w:r>
      <w:r w:rsidR="00D04616" w:rsidRPr="00D0461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използва технологи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ята</w:t>
      </w:r>
      <w:r w:rsidR="006D144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„валидиране“</w:t>
      </w:r>
      <w:r w:rsidR="00D04616" w:rsidRPr="00D0461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като HTML валидиране, CSS валидиране, проверка на </w:t>
      </w:r>
      <w:r w:rsidR="00D04616" w:rsidRPr="00597D2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правописа или чрез коригиращи филтри,</w:t>
      </w:r>
      <w:r w:rsidR="00D04616" w:rsidRPr="00D0461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проверка в кода на сайта на текстови алтернативи, заглавия, форми и други. </w:t>
      </w:r>
    </w:p>
    <w:p w:rsidR="00664553" w:rsidRDefault="00664553" w:rsidP="0066455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D04616" w:rsidRPr="00664553" w:rsidRDefault="00DD4B0C" w:rsidP="0066455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4.3. </w:t>
      </w:r>
      <w:r w:rsidR="00D04616" w:rsidRPr="00D04616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Тестване от потребители, вкл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ючително</w:t>
      </w:r>
      <w:r w:rsidR="00D04616" w:rsidRPr="00D04616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от </w:t>
      </w:r>
      <w:r w:rsidR="00D04616" w:rsidRPr="00D04616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хора с увреждания</w:t>
      </w:r>
      <w:r w:rsidR="00D04616" w:rsidRPr="00D0461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D04616" w:rsidRPr="00D04616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 използване на помощни технологии</w:t>
      </w:r>
      <w:r w:rsidR="001364C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</w:t>
      </w:r>
    </w:p>
    <w:p w:rsidR="00D04616" w:rsidRPr="00664553" w:rsidRDefault="00DD4B0C" w:rsidP="00D04616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6455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Извършва се чрез експлоатационн</w:t>
      </w:r>
      <w:r w:rsidR="0067432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 тестове от лица с увреждания /</w:t>
      </w:r>
      <w:r w:rsidRPr="0066455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тестов</w:t>
      </w:r>
      <w:r w:rsidR="0067432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 за експлоатационна достъпност/</w:t>
      </w:r>
      <w:r w:rsidRPr="0066455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степента на достъпност на интернет страницата.</w:t>
      </w:r>
    </w:p>
    <w:p w:rsidR="00875624" w:rsidRPr="00664553" w:rsidRDefault="0092389C" w:rsidP="00F9404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</w:pPr>
      <w:r w:rsidRPr="0066455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извършване на оценка на съответствието на интернет страницата на </w:t>
      </w:r>
      <w:r w:rsidR="002A05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Община </w:t>
      </w:r>
      <w:r w:rsidR="00085D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Монтана</w:t>
      </w:r>
      <w:r w:rsidRPr="0066455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посочените методи се използват комбинирано по преценка на оценителите. </w:t>
      </w:r>
      <w:r w:rsidR="00875624" w:rsidRPr="0066455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Проверките включват използване на визуален преглед, инструменти за автоматично тестване и анализ в кода на уеб страниците. </w:t>
      </w:r>
    </w:p>
    <w:p w:rsidR="00AB7EFB" w:rsidRDefault="00AB7EFB" w:rsidP="00EE6218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F525F" w:rsidRDefault="00F33A3F" w:rsidP="00664553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5. ЕТАПИ НА ОЦЕНКАТА</w:t>
      </w:r>
    </w:p>
    <w:p w:rsidR="00664553" w:rsidRDefault="00664553" w:rsidP="00664553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43FD5" w:rsidRDefault="00A6502C" w:rsidP="00825B44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6502C">
        <w:rPr>
          <w:rFonts w:ascii="Times New Roman" w:hAnsi="Times New Roman" w:cs="Times New Roman"/>
          <w:b/>
          <w:sz w:val="24"/>
          <w:szCs w:val="24"/>
          <w:lang w:val="bg-BG"/>
        </w:rPr>
        <w:t xml:space="preserve">5.1. </w:t>
      </w:r>
      <w:r w:rsidR="00143FD5">
        <w:rPr>
          <w:rFonts w:ascii="Times New Roman" w:hAnsi="Times New Roman" w:cs="Times New Roman"/>
          <w:b/>
          <w:sz w:val="24"/>
          <w:szCs w:val="24"/>
          <w:lang w:val="bg-BG"/>
        </w:rPr>
        <w:t>Подготвителен етап</w:t>
      </w:r>
      <w:r w:rsidR="00464F62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</w:p>
    <w:p w:rsidR="002A7E75" w:rsidRDefault="007736EE" w:rsidP="00143FD5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736EE">
        <w:rPr>
          <w:rFonts w:ascii="Times New Roman" w:hAnsi="Times New Roman" w:cs="Times New Roman"/>
          <w:sz w:val="24"/>
          <w:szCs w:val="24"/>
          <w:lang w:val="bg-BG"/>
        </w:rPr>
        <w:t>Подготвителният етап включва дейности по опреде</w:t>
      </w:r>
      <w:r>
        <w:rPr>
          <w:rFonts w:ascii="Times New Roman" w:hAnsi="Times New Roman" w:cs="Times New Roman"/>
          <w:sz w:val="24"/>
          <w:szCs w:val="24"/>
          <w:lang w:val="bg-BG"/>
        </w:rPr>
        <w:t>л</w:t>
      </w:r>
      <w:r w:rsidRPr="007736EE">
        <w:rPr>
          <w:rFonts w:ascii="Times New Roman" w:hAnsi="Times New Roman" w:cs="Times New Roman"/>
          <w:sz w:val="24"/>
          <w:szCs w:val="24"/>
          <w:lang w:val="bg-BG"/>
        </w:rPr>
        <w:t>яне на</w:t>
      </w:r>
      <w:r w:rsidR="002A7E75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:rsidR="002A7E75" w:rsidRPr="00597D2F" w:rsidRDefault="00597D2F" w:rsidP="00597D2F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5.1.1. </w:t>
      </w:r>
      <w:r w:rsidR="002A7E75" w:rsidRPr="00597D2F">
        <w:rPr>
          <w:rFonts w:ascii="Times New Roman" w:hAnsi="Times New Roman" w:cs="Times New Roman"/>
          <w:sz w:val="24"/>
          <w:szCs w:val="24"/>
          <w:lang w:val="bg-BG"/>
        </w:rPr>
        <w:t xml:space="preserve">Конкретните цели </w:t>
      </w:r>
      <w:r w:rsidR="00617CD6" w:rsidRPr="00597D2F">
        <w:rPr>
          <w:rFonts w:ascii="Times New Roman" w:hAnsi="Times New Roman" w:cs="Times New Roman"/>
          <w:sz w:val="24"/>
          <w:szCs w:val="24"/>
          <w:lang w:val="bg-BG"/>
        </w:rPr>
        <w:t xml:space="preserve">и обем </w:t>
      </w:r>
      <w:r w:rsidR="002A7E75" w:rsidRPr="00597D2F">
        <w:rPr>
          <w:rFonts w:ascii="Times New Roman" w:hAnsi="Times New Roman" w:cs="Times New Roman"/>
          <w:sz w:val="24"/>
          <w:szCs w:val="24"/>
          <w:lang w:val="bg-BG"/>
        </w:rPr>
        <w:t>на оценката;</w:t>
      </w:r>
    </w:p>
    <w:p w:rsidR="002A7E75" w:rsidRPr="00597D2F" w:rsidRDefault="00597D2F" w:rsidP="00597D2F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5.1.2. </w:t>
      </w:r>
      <w:r w:rsidR="002A7E75" w:rsidRPr="00597D2F">
        <w:rPr>
          <w:rFonts w:ascii="Times New Roman" w:hAnsi="Times New Roman" w:cs="Times New Roman"/>
          <w:sz w:val="24"/>
          <w:szCs w:val="24"/>
          <w:lang w:val="bg-BG"/>
        </w:rPr>
        <w:t>Начина на извършване на оценката /чрез самооценка и чрез възлагане на трето лице;</w:t>
      </w:r>
    </w:p>
    <w:p w:rsidR="000F016D" w:rsidRPr="00597D2F" w:rsidRDefault="00597D2F" w:rsidP="00597D2F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5.1.3. </w:t>
      </w:r>
      <w:r w:rsidR="000F016D" w:rsidRPr="00597D2F">
        <w:rPr>
          <w:rFonts w:ascii="Times New Roman" w:hAnsi="Times New Roman" w:cs="Times New Roman"/>
          <w:sz w:val="24"/>
          <w:szCs w:val="24"/>
          <w:lang w:val="bg-BG"/>
        </w:rPr>
        <w:t>Метода за извършване на оценката;</w:t>
      </w:r>
    </w:p>
    <w:p w:rsidR="00F9404A" w:rsidRPr="00597D2F" w:rsidRDefault="00597D2F" w:rsidP="00597D2F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5.1.4. </w:t>
      </w:r>
      <w:r w:rsidR="000F016D" w:rsidRPr="00597D2F">
        <w:rPr>
          <w:rFonts w:ascii="Times New Roman" w:hAnsi="Times New Roman" w:cs="Times New Roman"/>
          <w:sz w:val="24"/>
          <w:szCs w:val="24"/>
          <w:lang w:val="bg-BG"/>
        </w:rPr>
        <w:t>Сл</w:t>
      </w:r>
      <w:r w:rsidR="00617CD6" w:rsidRPr="00597D2F">
        <w:rPr>
          <w:rFonts w:ascii="Times New Roman" w:hAnsi="Times New Roman" w:cs="Times New Roman"/>
          <w:sz w:val="24"/>
          <w:szCs w:val="24"/>
          <w:lang w:val="bg-BG"/>
        </w:rPr>
        <w:t>ужителите</w:t>
      </w:r>
      <w:r w:rsidR="000F016D" w:rsidRPr="00597D2F">
        <w:rPr>
          <w:rFonts w:ascii="Times New Roman" w:hAnsi="Times New Roman" w:cs="Times New Roman"/>
          <w:sz w:val="24"/>
          <w:szCs w:val="24"/>
          <w:lang w:val="bg-BG"/>
        </w:rPr>
        <w:t xml:space="preserve"> от администрацията </w:t>
      </w:r>
      <w:r w:rsidR="00617CD6" w:rsidRPr="00597D2F">
        <w:rPr>
          <w:rFonts w:ascii="Times New Roman" w:hAnsi="Times New Roman" w:cs="Times New Roman"/>
          <w:sz w:val="24"/>
          <w:szCs w:val="24"/>
          <w:lang w:val="bg-BG"/>
        </w:rPr>
        <w:t>/трето лице</w:t>
      </w:r>
      <w:r w:rsidR="000F016D" w:rsidRPr="00597D2F">
        <w:rPr>
          <w:rFonts w:ascii="Times New Roman" w:hAnsi="Times New Roman" w:cs="Times New Roman"/>
          <w:sz w:val="24"/>
          <w:szCs w:val="24"/>
          <w:lang w:val="bg-BG"/>
        </w:rPr>
        <w:t>/ за</w:t>
      </w:r>
      <w:r w:rsidR="00617CD6" w:rsidRPr="00597D2F">
        <w:rPr>
          <w:rFonts w:ascii="Times New Roman" w:hAnsi="Times New Roman" w:cs="Times New Roman"/>
          <w:sz w:val="24"/>
          <w:szCs w:val="24"/>
          <w:lang w:val="bg-BG"/>
        </w:rPr>
        <w:t xml:space="preserve"> извършването на оценката;</w:t>
      </w:r>
    </w:p>
    <w:p w:rsidR="00DF525F" w:rsidRPr="00597D2F" w:rsidRDefault="00597D2F" w:rsidP="00597D2F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5.1.5. </w:t>
      </w:r>
      <w:r w:rsidR="00617CD6" w:rsidRPr="00597D2F">
        <w:rPr>
          <w:rFonts w:ascii="Times New Roman" w:hAnsi="Times New Roman" w:cs="Times New Roman"/>
          <w:sz w:val="24"/>
          <w:szCs w:val="24"/>
          <w:lang w:val="bg-BG"/>
        </w:rPr>
        <w:t>Определяне на срока за извършване на оценката.</w:t>
      </w:r>
    </w:p>
    <w:p w:rsidR="00664553" w:rsidRPr="00664553" w:rsidRDefault="00664553" w:rsidP="00664553">
      <w:pPr>
        <w:pStyle w:val="ListParagraph"/>
        <w:spacing w:after="12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43FD5" w:rsidRDefault="00143FD5" w:rsidP="00143FD5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43FD5">
        <w:rPr>
          <w:rFonts w:ascii="Times New Roman" w:hAnsi="Times New Roman" w:cs="Times New Roman"/>
          <w:b/>
          <w:sz w:val="24"/>
          <w:szCs w:val="24"/>
          <w:lang w:val="bg-BG"/>
        </w:rPr>
        <w:t>5.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 w:rsidRPr="00143F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Същински </w:t>
      </w:r>
      <w:r w:rsidRPr="00143FD5">
        <w:rPr>
          <w:rFonts w:ascii="Times New Roman" w:hAnsi="Times New Roman" w:cs="Times New Roman"/>
          <w:b/>
          <w:sz w:val="24"/>
          <w:szCs w:val="24"/>
          <w:lang w:val="bg-BG"/>
        </w:rPr>
        <w:t>етап</w:t>
      </w:r>
      <w:r w:rsidR="00464F62">
        <w:rPr>
          <w:rFonts w:ascii="Times New Roman" w:hAnsi="Times New Roman" w:cs="Times New Roman"/>
          <w:b/>
          <w:sz w:val="24"/>
          <w:szCs w:val="24"/>
          <w:lang w:val="bg-BG"/>
        </w:rPr>
        <w:t xml:space="preserve">. </w:t>
      </w:r>
    </w:p>
    <w:p w:rsidR="00464F62" w:rsidRDefault="00464F62" w:rsidP="00143FD5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64F62">
        <w:rPr>
          <w:rFonts w:ascii="Times New Roman" w:hAnsi="Times New Roman" w:cs="Times New Roman"/>
          <w:sz w:val="24"/>
          <w:szCs w:val="24"/>
          <w:lang w:val="bg-BG"/>
        </w:rPr>
        <w:t xml:space="preserve">Същинският етап включва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следните дейности: </w:t>
      </w:r>
    </w:p>
    <w:p w:rsidR="00464F62" w:rsidRPr="00AD1AF6" w:rsidRDefault="00AD1AF6" w:rsidP="00433A76">
      <w:pPr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5.2.1. </w:t>
      </w:r>
      <w:r w:rsidR="00FD6A0D" w:rsidRPr="00AD1AF6">
        <w:rPr>
          <w:rFonts w:ascii="Times New Roman" w:hAnsi="Times New Roman" w:cs="Times New Roman"/>
          <w:sz w:val="24"/>
          <w:szCs w:val="24"/>
          <w:lang w:val="bg-BG"/>
        </w:rPr>
        <w:t>Подбор на извадка от страници;</w:t>
      </w:r>
    </w:p>
    <w:p w:rsidR="00FD6A0D" w:rsidRPr="00AD1AF6" w:rsidRDefault="00AD1AF6" w:rsidP="00433A76">
      <w:pPr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D1AF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5.2.2. </w:t>
      </w:r>
      <w:r w:rsidR="00E74661" w:rsidRPr="00AD1AF6">
        <w:rPr>
          <w:rFonts w:ascii="Times New Roman" w:hAnsi="Times New Roman" w:cs="Times New Roman"/>
          <w:sz w:val="24"/>
          <w:szCs w:val="24"/>
          <w:lang w:val="bg-BG"/>
        </w:rPr>
        <w:t>Определяне на метода за тестване;</w:t>
      </w:r>
    </w:p>
    <w:p w:rsidR="00E74661" w:rsidRPr="00AD1AF6" w:rsidRDefault="00AD1AF6" w:rsidP="00433A76">
      <w:pPr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D1AF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5.2.3. </w:t>
      </w:r>
      <w:r w:rsidR="00E74661" w:rsidRPr="00AD1AF6">
        <w:rPr>
          <w:rFonts w:ascii="Times New Roman" w:hAnsi="Times New Roman" w:cs="Times New Roman"/>
          <w:sz w:val="24"/>
          <w:szCs w:val="24"/>
          <w:lang w:val="bg-BG"/>
        </w:rPr>
        <w:t>Избор на подходящи инструменти за автоматично тестване;</w:t>
      </w:r>
    </w:p>
    <w:p w:rsidR="00AD1AF6" w:rsidRDefault="00AD1AF6" w:rsidP="00B542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D1AF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5.2.4. </w:t>
      </w:r>
      <w:r w:rsidRPr="00AD1AF6">
        <w:rPr>
          <w:rFonts w:ascii="Times New Roman" w:hAnsi="Times New Roman" w:cs="Times New Roman"/>
          <w:sz w:val="24"/>
          <w:szCs w:val="24"/>
          <w:lang w:val="bg-BG"/>
        </w:rPr>
        <w:t>Извършване на оценка на достъпността, която обхваща минимум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следните елементи на проверка</w:t>
      </w:r>
      <w:r w:rsidRPr="00AD1AF6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</w:p>
    <w:p w:rsidR="00B54298" w:rsidRPr="00AD1AF6" w:rsidRDefault="00B54298" w:rsidP="00B542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33A76" w:rsidRPr="00F33A3F" w:rsidRDefault="00F33A3F" w:rsidP="00F33A3F">
      <w:pPr>
        <w:pStyle w:val="ListParagraph"/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433A76" w:rsidRPr="00F33A3F">
        <w:rPr>
          <w:rFonts w:ascii="Times New Roman" w:hAnsi="Times New Roman" w:cs="Times New Roman"/>
          <w:sz w:val="24"/>
          <w:szCs w:val="24"/>
          <w:lang w:val="bg-BG"/>
        </w:rPr>
        <w:t>аглавия на страници /</w:t>
      </w:r>
      <w:r w:rsidR="00B55A4A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433A76" w:rsidRPr="00F33A3F">
        <w:rPr>
          <w:rFonts w:ascii="Times New Roman" w:hAnsi="Times New Roman" w:cs="Times New Roman"/>
          <w:sz w:val="24"/>
          <w:szCs w:val="24"/>
          <w:lang w:val="bg-BG"/>
        </w:rPr>
        <w:t>сяка страница има кратко, описателно заглавие, което я различава от останалите страници/;</w:t>
      </w:r>
    </w:p>
    <w:p w:rsidR="00433A76" w:rsidRPr="00F33A3F" w:rsidRDefault="00F33A3F" w:rsidP="00F33A3F">
      <w:pPr>
        <w:pStyle w:val="ListParagraph"/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</w:t>
      </w:r>
      <w:r w:rsidR="00433A76" w:rsidRPr="00F33A3F">
        <w:rPr>
          <w:rFonts w:ascii="Times New Roman" w:hAnsi="Times New Roman" w:cs="Times New Roman"/>
          <w:sz w:val="24"/>
          <w:szCs w:val="24"/>
          <w:lang w:val="bg-BG"/>
        </w:rPr>
        <w:t xml:space="preserve">екстови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алтернативи за изображения </w:t>
      </w:r>
      <w:r w:rsidR="00433A76" w:rsidRPr="00F33A3F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B55A4A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433A76" w:rsidRPr="00F33A3F">
        <w:rPr>
          <w:rFonts w:ascii="Times New Roman" w:hAnsi="Times New Roman" w:cs="Times New Roman"/>
          <w:sz w:val="24"/>
          <w:szCs w:val="24"/>
          <w:lang w:val="bg-BG"/>
        </w:rPr>
        <w:t>сяко изображение има подходящ алтернативен текст и alt tags/;</w:t>
      </w:r>
    </w:p>
    <w:p w:rsidR="00433A76" w:rsidRPr="00F33A3F" w:rsidRDefault="00F33A3F" w:rsidP="00F33A3F">
      <w:pPr>
        <w:pStyle w:val="ListParagraph"/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433A76" w:rsidRPr="00F33A3F">
        <w:rPr>
          <w:rFonts w:ascii="Times New Roman" w:hAnsi="Times New Roman" w:cs="Times New Roman"/>
          <w:sz w:val="24"/>
          <w:szCs w:val="24"/>
          <w:lang w:val="bg-BG"/>
        </w:rPr>
        <w:t>аглавия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  <w:r w:rsidR="00B55A4A">
        <w:rPr>
          <w:rFonts w:ascii="Times New Roman" w:hAnsi="Times New Roman" w:cs="Times New Roman"/>
          <w:sz w:val="24"/>
          <w:szCs w:val="24"/>
          <w:lang w:val="bg-BG"/>
        </w:rPr>
        <w:t>й</w:t>
      </w:r>
      <w:r w:rsidR="00433A76" w:rsidRPr="00F33A3F">
        <w:rPr>
          <w:rFonts w:ascii="Times New Roman" w:hAnsi="Times New Roman" w:cs="Times New Roman"/>
          <w:sz w:val="24"/>
          <w:szCs w:val="24"/>
          <w:lang w:val="bg-BG"/>
        </w:rPr>
        <w:t>ерархията на заглавието е смислена и то е маркирано правилно/;</w:t>
      </w:r>
    </w:p>
    <w:p w:rsidR="00433A76" w:rsidRPr="00F33A3F" w:rsidRDefault="00B55A4A" w:rsidP="00F33A3F">
      <w:pPr>
        <w:pStyle w:val="ListParagraph"/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</w:t>
      </w:r>
      <w:r w:rsidR="00433A76" w:rsidRPr="00F33A3F">
        <w:rPr>
          <w:rFonts w:ascii="Times New Roman" w:hAnsi="Times New Roman" w:cs="Times New Roman"/>
          <w:sz w:val="24"/>
          <w:szCs w:val="24"/>
          <w:lang w:val="bg-BG"/>
        </w:rPr>
        <w:t>онтрастно съотношение /</w:t>
      </w:r>
      <w:r>
        <w:rPr>
          <w:rFonts w:ascii="Times New Roman" w:hAnsi="Times New Roman" w:cs="Times New Roman"/>
          <w:sz w:val="24"/>
          <w:szCs w:val="24"/>
          <w:lang w:val="bg-BG"/>
        </w:rPr>
        <w:t>к</w:t>
      </w:r>
      <w:r w:rsidR="00433A76" w:rsidRPr="00F33A3F">
        <w:rPr>
          <w:rFonts w:ascii="Times New Roman" w:hAnsi="Times New Roman" w:cs="Times New Roman"/>
          <w:sz w:val="24"/>
          <w:szCs w:val="24"/>
          <w:lang w:val="bg-BG"/>
        </w:rPr>
        <w:t>онтрастното съотношение е 4,5:1 за текст с нормален размер/;</w:t>
      </w:r>
    </w:p>
    <w:p w:rsidR="00433A76" w:rsidRPr="00F33A3F" w:rsidRDefault="00B55A4A" w:rsidP="00F33A3F">
      <w:pPr>
        <w:pStyle w:val="ListParagraph"/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433A76" w:rsidRPr="00F33A3F">
        <w:rPr>
          <w:rFonts w:ascii="Times New Roman" w:hAnsi="Times New Roman" w:cs="Times New Roman"/>
          <w:sz w:val="24"/>
          <w:szCs w:val="24"/>
          <w:lang w:val="bg-BG"/>
        </w:rPr>
        <w:t>реоразмеряване на текста /</w:t>
      </w:r>
      <w:r>
        <w:rPr>
          <w:rFonts w:ascii="Times New Roman" w:hAnsi="Times New Roman" w:cs="Times New Roman"/>
          <w:sz w:val="24"/>
          <w:szCs w:val="24"/>
          <w:lang w:val="bg-BG"/>
        </w:rPr>
        <w:t>т</w:t>
      </w:r>
      <w:r w:rsidR="00433A76" w:rsidRPr="00F33A3F">
        <w:rPr>
          <w:rFonts w:ascii="Times New Roman" w:hAnsi="Times New Roman" w:cs="Times New Roman"/>
          <w:sz w:val="24"/>
          <w:szCs w:val="24"/>
          <w:lang w:val="bg-BG"/>
        </w:rPr>
        <w:t xml:space="preserve">екстът се визуализира и функционира правилно, когато размерът се увеличава/; </w:t>
      </w:r>
    </w:p>
    <w:p w:rsidR="00433A76" w:rsidRPr="00F33A3F" w:rsidRDefault="00B55A4A" w:rsidP="00F33A3F">
      <w:pPr>
        <w:pStyle w:val="ListParagraph"/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</w:t>
      </w:r>
      <w:r w:rsidR="00433A76" w:rsidRPr="00F33A3F">
        <w:rPr>
          <w:rFonts w:ascii="Times New Roman" w:hAnsi="Times New Roman" w:cs="Times New Roman"/>
          <w:sz w:val="24"/>
          <w:szCs w:val="24"/>
          <w:lang w:val="bg-BG"/>
        </w:rPr>
        <w:t>остъп до клавиатура и визуален фокус /</w:t>
      </w:r>
      <w:r>
        <w:rPr>
          <w:rFonts w:ascii="Times New Roman" w:hAnsi="Times New Roman" w:cs="Times New Roman"/>
          <w:sz w:val="24"/>
          <w:szCs w:val="24"/>
          <w:lang w:val="bg-BG"/>
        </w:rPr>
        <w:t>ц</w:t>
      </w:r>
      <w:r w:rsidR="00433A76" w:rsidRPr="00F33A3F">
        <w:rPr>
          <w:rFonts w:ascii="Times New Roman" w:hAnsi="Times New Roman" w:cs="Times New Roman"/>
          <w:sz w:val="24"/>
          <w:szCs w:val="24"/>
          <w:lang w:val="bg-BG"/>
        </w:rPr>
        <w:t>ялата функционалност може да бъде изпълнена чрез клавиатурата/;</w:t>
      </w:r>
    </w:p>
    <w:p w:rsidR="00433A76" w:rsidRPr="00F33A3F" w:rsidRDefault="00B55A4A" w:rsidP="00F33A3F">
      <w:pPr>
        <w:pStyle w:val="ListParagraph"/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ф</w:t>
      </w:r>
      <w:r w:rsidR="00674327">
        <w:rPr>
          <w:rFonts w:ascii="Times New Roman" w:hAnsi="Times New Roman" w:cs="Times New Roman"/>
          <w:sz w:val="24"/>
          <w:szCs w:val="24"/>
          <w:lang w:val="bg-BG"/>
        </w:rPr>
        <w:t>орми, етикети и грешки /</w:t>
      </w:r>
      <w:r w:rsidR="00433A76" w:rsidRPr="00F33A3F">
        <w:rPr>
          <w:rFonts w:ascii="Times New Roman" w:hAnsi="Times New Roman" w:cs="Times New Roman"/>
          <w:sz w:val="24"/>
          <w:szCs w:val="24"/>
          <w:lang w:val="bg-BG"/>
        </w:rPr>
        <w:t>включително</w:t>
      </w:r>
      <w:r w:rsidR="00674327">
        <w:rPr>
          <w:rFonts w:ascii="Times New Roman" w:hAnsi="Times New Roman" w:cs="Times New Roman"/>
          <w:sz w:val="24"/>
          <w:szCs w:val="24"/>
          <w:lang w:val="bg-BG"/>
        </w:rPr>
        <w:t xml:space="preserve"> полета за търсене/</w:t>
      </w:r>
      <w:r w:rsidR="00433A76" w:rsidRPr="00F33A3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/к</w:t>
      </w:r>
      <w:r w:rsidR="00433A76" w:rsidRPr="00F33A3F">
        <w:rPr>
          <w:rFonts w:ascii="Times New Roman" w:hAnsi="Times New Roman" w:cs="Times New Roman"/>
          <w:sz w:val="24"/>
          <w:szCs w:val="24"/>
          <w:lang w:val="bg-BG"/>
        </w:rPr>
        <w:t>онтролите във формите имат етикети и грешките се откриват лесно и са обяснени</w:t>
      </w:r>
      <w:r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433A76" w:rsidRPr="00F33A3F">
        <w:rPr>
          <w:rFonts w:ascii="Times New Roman" w:hAnsi="Times New Roman" w:cs="Times New Roman"/>
          <w:sz w:val="24"/>
          <w:szCs w:val="24"/>
          <w:lang w:val="bg-BG"/>
        </w:rPr>
        <w:t xml:space="preserve">; </w:t>
      </w:r>
    </w:p>
    <w:p w:rsidR="00433A76" w:rsidRPr="00F33A3F" w:rsidRDefault="00B55A4A" w:rsidP="00F33A3F">
      <w:pPr>
        <w:pStyle w:val="ListParagraph"/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</w:t>
      </w:r>
      <w:r w:rsidR="00433A76" w:rsidRPr="00F33A3F">
        <w:rPr>
          <w:rFonts w:ascii="Times New Roman" w:hAnsi="Times New Roman" w:cs="Times New Roman"/>
          <w:sz w:val="24"/>
          <w:szCs w:val="24"/>
          <w:lang w:val="bg-BG"/>
        </w:rPr>
        <w:t xml:space="preserve">реместване, просветване или мигане на съдържание </w:t>
      </w:r>
      <w:r>
        <w:rPr>
          <w:rFonts w:ascii="Times New Roman" w:hAnsi="Times New Roman" w:cs="Times New Roman"/>
          <w:sz w:val="24"/>
          <w:szCs w:val="24"/>
          <w:lang w:val="bg-BG"/>
        </w:rPr>
        <w:t>/п</w:t>
      </w:r>
      <w:r w:rsidR="00433A76" w:rsidRPr="00F33A3F">
        <w:rPr>
          <w:rFonts w:ascii="Times New Roman" w:hAnsi="Times New Roman" w:cs="Times New Roman"/>
          <w:sz w:val="24"/>
          <w:szCs w:val="24"/>
          <w:lang w:val="bg-BG"/>
        </w:rPr>
        <w:t xml:space="preserve">редлага се начин за пауза на всяко съдържание, което се движи/; </w:t>
      </w:r>
    </w:p>
    <w:p w:rsidR="00433A76" w:rsidRPr="00F33A3F" w:rsidRDefault="00B55A4A" w:rsidP="00F33A3F">
      <w:pPr>
        <w:pStyle w:val="ListParagraph"/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м</w:t>
      </w:r>
      <w:r w:rsidR="001F5EAE">
        <w:rPr>
          <w:rFonts w:ascii="Times New Roman" w:hAnsi="Times New Roman" w:cs="Times New Roman"/>
          <w:sz w:val="24"/>
          <w:szCs w:val="24"/>
          <w:lang w:val="bg-BG"/>
        </w:rPr>
        <w:t>ултимедийни /видео, аудио/</w:t>
      </w:r>
      <w:r w:rsidR="00433A76" w:rsidRPr="00F33A3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алтернативи /к</w:t>
      </w:r>
      <w:r w:rsidR="00433A76" w:rsidRPr="00F33A3F">
        <w:rPr>
          <w:rFonts w:ascii="Times New Roman" w:hAnsi="Times New Roman" w:cs="Times New Roman"/>
          <w:sz w:val="24"/>
          <w:szCs w:val="24"/>
          <w:lang w:val="bg-BG"/>
        </w:rPr>
        <w:t>онтролите на медийния плейър са достъпни за клавиатура/;</w:t>
      </w:r>
    </w:p>
    <w:p w:rsidR="00433A76" w:rsidRPr="00F33A3F" w:rsidRDefault="00B55A4A" w:rsidP="00F33A3F">
      <w:pPr>
        <w:pStyle w:val="ListParagraph"/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проверка на основна структура /и</w:t>
      </w:r>
      <w:r w:rsidR="00170D23" w:rsidRPr="00F33A3F">
        <w:rPr>
          <w:rFonts w:ascii="Times New Roman" w:hAnsi="Times New Roman" w:cs="Times New Roman"/>
          <w:sz w:val="24"/>
          <w:szCs w:val="24"/>
          <w:lang w:val="bg-BG"/>
        </w:rPr>
        <w:t xml:space="preserve">нформацията има смисъл, когато се чете в реда, в който е показана/. </w:t>
      </w:r>
    </w:p>
    <w:p w:rsidR="00B55A4A" w:rsidRDefault="00B55A4A" w:rsidP="003B5DF5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74D0B" w:rsidRPr="00DD390F" w:rsidRDefault="003F6E6F" w:rsidP="003B5DF5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Резултатите от </w:t>
      </w:r>
      <w:r w:rsidR="00574D0B" w:rsidRPr="00DD390F">
        <w:rPr>
          <w:rFonts w:ascii="Times New Roman" w:hAnsi="Times New Roman" w:cs="Times New Roman"/>
          <w:sz w:val="24"/>
          <w:szCs w:val="24"/>
          <w:lang w:val="bg-BG"/>
        </w:rPr>
        <w:t>пр</w:t>
      </w:r>
      <w:r w:rsidR="00DD390F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="00574D0B" w:rsidRPr="00DD390F">
        <w:rPr>
          <w:rFonts w:ascii="Times New Roman" w:hAnsi="Times New Roman" w:cs="Times New Roman"/>
          <w:sz w:val="24"/>
          <w:szCs w:val="24"/>
          <w:lang w:val="bg-BG"/>
        </w:rPr>
        <w:t xml:space="preserve">верката се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отразяват </w:t>
      </w:r>
      <w:r w:rsidR="00B55A4A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="00574D0B" w:rsidRPr="00DD390F">
        <w:rPr>
          <w:rFonts w:ascii="Times New Roman" w:hAnsi="Times New Roman" w:cs="Times New Roman"/>
          <w:sz w:val="24"/>
          <w:szCs w:val="24"/>
          <w:lang w:val="bg-BG"/>
        </w:rPr>
        <w:t>Контролен лист съгласно Образец 1 от настоящата Методика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525F" w:rsidRDefault="00DF525F" w:rsidP="00143FD5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43FD5" w:rsidRPr="00143FD5" w:rsidRDefault="00143FD5" w:rsidP="00143FD5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43FD5">
        <w:rPr>
          <w:rFonts w:ascii="Times New Roman" w:hAnsi="Times New Roman" w:cs="Times New Roman"/>
          <w:b/>
          <w:sz w:val="24"/>
          <w:szCs w:val="24"/>
          <w:lang w:val="bg-BG"/>
        </w:rPr>
        <w:t>5.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Pr="00143F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Заключителен етап</w:t>
      </w:r>
      <w:r w:rsidR="00E675AE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</w:p>
    <w:p w:rsidR="00143FD5" w:rsidRPr="00A153C7" w:rsidRDefault="00A153C7" w:rsidP="00825B4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153C7">
        <w:rPr>
          <w:rFonts w:ascii="Times New Roman" w:hAnsi="Times New Roman" w:cs="Times New Roman"/>
          <w:sz w:val="24"/>
          <w:szCs w:val="24"/>
          <w:lang w:val="bg-BG"/>
        </w:rPr>
        <w:t xml:space="preserve">За извършената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оценка се изготвя доклад за съответствието, който </w:t>
      </w:r>
      <w:r w:rsidR="003F5CA9">
        <w:rPr>
          <w:rFonts w:ascii="Times New Roman" w:hAnsi="Times New Roman" w:cs="Times New Roman"/>
          <w:sz w:val="24"/>
          <w:szCs w:val="24"/>
          <w:lang w:val="bg-BG"/>
        </w:rPr>
        <w:t xml:space="preserve">има следната структура: </w:t>
      </w:r>
    </w:p>
    <w:p w:rsidR="0027434D" w:rsidRDefault="00686CD5" w:rsidP="003F5CA9">
      <w:pPr>
        <w:spacing w:after="12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5.3.1. </w:t>
      </w:r>
      <w:r w:rsidR="00B55A4A">
        <w:rPr>
          <w:rFonts w:ascii="Times New Roman" w:hAnsi="Times New Roman" w:cs="Times New Roman"/>
          <w:bCs/>
          <w:sz w:val="24"/>
          <w:szCs w:val="24"/>
          <w:lang w:val="bg-BG"/>
        </w:rPr>
        <w:t>Обобщение на съдържанието.</w:t>
      </w:r>
    </w:p>
    <w:p w:rsidR="0027434D" w:rsidRDefault="00686CD5" w:rsidP="003F5CA9">
      <w:pPr>
        <w:spacing w:after="12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Cs/>
          <w:sz w:val="24"/>
          <w:szCs w:val="24"/>
          <w:lang w:val="bg-BG"/>
        </w:rPr>
        <w:t>5.3.2</w:t>
      </w:r>
      <w:r w:rsidR="0027434D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. Описание на дейностите </w:t>
      </w:r>
      <w:r w:rsidR="00D1428D">
        <w:rPr>
          <w:rFonts w:ascii="Times New Roman" w:hAnsi="Times New Roman" w:cs="Times New Roman"/>
          <w:bCs/>
          <w:sz w:val="24"/>
          <w:szCs w:val="24"/>
          <w:lang w:val="bg-BG"/>
        </w:rPr>
        <w:t>и измервателните данни</w:t>
      </w:r>
      <w:r w:rsidR="0027434D">
        <w:rPr>
          <w:rFonts w:ascii="Times New Roman" w:hAnsi="Times New Roman" w:cs="Times New Roman"/>
          <w:bCs/>
          <w:sz w:val="24"/>
          <w:szCs w:val="24"/>
          <w:lang w:val="bg-BG"/>
        </w:rPr>
        <w:t>, което включва:</w:t>
      </w:r>
    </w:p>
    <w:p w:rsidR="0027434D" w:rsidRPr="00B55A4A" w:rsidRDefault="0027434D" w:rsidP="00B55A4A">
      <w:pPr>
        <w:pStyle w:val="ListParagraph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B55A4A">
        <w:rPr>
          <w:rFonts w:ascii="Times New Roman" w:hAnsi="Times New Roman" w:cs="Times New Roman"/>
          <w:bCs/>
          <w:sz w:val="24"/>
          <w:szCs w:val="24"/>
          <w:lang w:val="bg-BG"/>
        </w:rPr>
        <w:t>дата/период на извършване на проверките на страниците;</w:t>
      </w:r>
    </w:p>
    <w:p w:rsidR="0027434D" w:rsidRPr="00B55A4A" w:rsidRDefault="0027434D" w:rsidP="00B55A4A">
      <w:pPr>
        <w:pStyle w:val="ListParagraph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B55A4A">
        <w:rPr>
          <w:rFonts w:ascii="Times New Roman" w:hAnsi="Times New Roman" w:cs="Times New Roman"/>
          <w:bCs/>
          <w:sz w:val="24"/>
          <w:szCs w:val="24"/>
          <w:lang w:val="bg-BG"/>
        </w:rPr>
        <w:t>състав на извадката / брой прегледани страници, посочване на страниците/;</w:t>
      </w:r>
    </w:p>
    <w:p w:rsidR="0027434D" w:rsidRPr="00B55A4A" w:rsidRDefault="0027434D" w:rsidP="00B55A4A">
      <w:pPr>
        <w:pStyle w:val="ListParagraph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B55A4A">
        <w:rPr>
          <w:rFonts w:ascii="Times New Roman" w:hAnsi="Times New Roman" w:cs="Times New Roman"/>
          <w:bCs/>
          <w:sz w:val="24"/>
          <w:szCs w:val="24"/>
          <w:lang w:val="bg-BG"/>
        </w:rPr>
        <w:t>използваните м</w:t>
      </w:r>
      <w:r w:rsidR="00B55A4A">
        <w:rPr>
          <w:rFonts w:ascii="Times New Roman" w:hAnsi="Times New Roman" w:cs="Times New Roman"/>
          <w:bCs/>
          <w:sz w:val="24"/>
          <w:szCs w:val="24"/>
          <w:lang w:val="bg-BG"/>
        </w:rPr>
        <w:t>етоди и инструменти за проверка.</w:t>
      </w:r>
    </w:p>
    <w:p w:rsidR="0027434D" w:rsidRPr="00B55A4A" w:rsidRDefault="00686CD5" w:rsidP="003F5CA9">
      <w:pPr>
        <w:spacing w:after="12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Cs/>
          <w:sz w:val="24"/>
          <w:szCs w:val="24"/>
          <w:lang w:val="bg-BG"/>
        </w:rPr>
        <w:t>5.3.</w:t>
      </w:r>
      <w:r w:rsidR="00430908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3. </w:t>
      </w:r>
      <w:r w:rsidR="0027434D" w:rsidRPr="00B55A4A">
        <w:rPr>
          <w:rFonts w:ascii="Times New Roman" w:hAnsi="Times New Roman" w:cs="Times New Roman"/>
          <w:bCs/>
          <w:sz w:val="24"/>
          <w:szCs w:val="24"/>
          <w:lang w:val="bg-BG"/>
        </w:rPr>
        <w:t>Съответствие със стандартите, техническите спецификации и инструментите /Образец №1/</w:t>
      </w:r>
      <w:r w:rsidR="00B55A4A">
        <w:rPr>
          <w:rFonts w:ascii="Times New Roman" w:hAnsi="Times New Roman" w:cs="Times New Roman"/>
          <w:bCs/>
          <w:sz w:val="24"/>
          <w:szCs w:val="24"/>
          <w:lang w:val="bg-BG"/>
        </w:rPr>
        <w:t>.</w:t>
      </w:r>
    </w:p>
    <w:p w:rsidR="00430908" w:rsidRPr="00B55A4A" w:rsidRDefault="005059FB" w:rsidP="003F5CA9">
      <w:pPr>
        <w:spacing w:after="12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Cs/>
          <w:sz w:val="24"/>
          <w:szCs w:val="24"/>
          <w:lang w:val="bg-BG"/>
        </w:rPr>
        <w:t>5.3.</w:t>
      </w:r>
      <w:r w:rsidR="00430908" w:rsidRPr="00B55A4A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4. </w:t>
      </w:r>
      <w:r w:rsidR="00D1428D" w:rsidRPr="00B55A4A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Резултати от извършената оценка. </w:t>
      </w:r>
    </w:p>
    <w:p w:rsidR="0027434D" w:rsidRDefault="005059FB" w:rsidP="00B55A4A">
      <w:pPr>
        <w:spacing w:after="12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Cs/>
          <w:sz w:val="24"/>
          <w:szCs w:val="24"/>
          <w:lang w:val="bg-BG"/>
        </w:rPr>
        <w:t>5.3.</w:t>
      </w:r>
      <w:r w:rsidR="00D1428D" w:rsidRPr="00B55A4A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5. Препоръки за подобряване на достъпността. </w:t>
      </w:r>
    </w:p>
    <w:p w:rsidR="00B55A4A" w:rsidRDefault="00B55A4A" w:rsidP="003F5CA9">
      <w:pPr>
        <w:spacing w:after="12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</w:p>
    <w:p w:rsidR="00D1428D" w:rsidRDefault="00D1428D" w:rsidP="003F5CA9">
      <w:pPr>
        <w:spacing w:after="12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Cs/>
          <w:sz w:val="24"/>
          <w:szCs w:val="24"/>
          <w:lang w:val="bg-BG"/>
        </w:rPr>
        <w:t>Изготвеният доклад се подписва от лицата, извършили проверката и се предс</w:t>
      </w:r>
      <w:r w:rsidR="002425B5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тавя на кмета на </w:t>
      </w:r>
      <w:r w:rsidR="002A052C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Община </w:t>
      </w:r>
      <w:r w:rsidR="00085DE0">
        <w:rPr>
          <w:rFonts w:ascii="Times New Roman" w:hAnsi="Times New Roman" w:cs="Times New Roman"/>
          <w:bCs/>
          <w:sz w:val="24"/>
          <w:szCs w:val="24"/>
          <w:lang w:val="bg-BG"/>
        </w:rPr>
        <w:t>Монтана</w:t>
      </w:r>
      <w:r w:rsidR="002425B5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. </w:t>
      </w:r>
    </w:p>
    <w:p w:rsidR="002425B5" w:rsidRDefault="002425B5" w:rsidP="003F5CA9">
      <w:pPr>
        <w:spacing w:after="12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</w:p>
    <w:p w:rsidR="00644058" w:rsidRDefault="002425B5" w:rsidP="003F5CA9">
      <w:pPr>
        <w:spacing w:after="12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ab/>
      </w:r>
    </w:p>
    <w:p w:rsidR="00644058" w:rsidRDefault="00644058" w:rsidP="003F5CA9">
      <w:pPr>
        <w:spacing w:after="12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</w:p>
    <w:p w:rsidR="00644058" w:rsidRDefault="00644058" w:rsidP="003F5CA9">
      <w:pPr>
        <w:spacing w:after="12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</w:p>
    <w:p w:rsidR="00B8556E" w:rsidRDefault="00B8556E" w:rsidP="00644058">
      <w:pPr>
        <w:spacing w:after="120" w:line="240" w:lineRule="auto"/>
        <w:ind w:left="10080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EE6218" w:rsidRDefault="00EE6218" w:rsidP="00C25C4E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2425B5" w:rsidRPr="009A7038" w:rsidRDefault="002425B5" w:rsidP="00644058">
      <w:pPr>
        <w:spacing w:after="120" w:line="240" w:lineRule="auto"/>
        <w:ind w:left="10080" w:firstLine="720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bg-BG"/>
        </w:rPr>
      </w:pPr>
      <w:r w:rsidRPr="009A7038">
        <w:rPr>
          <w:rFonts w:ascii="Times New Roman" w:hAnsi="Times New Roman" w:cs="Times New Roman"/>
          <w:b/>
          <w:bCs/>
          <w:i/>
          <w:sz w:val="24"/>
          <w:szCs w:val="24"/>
          <w:lang w:val="bg-BG"/>
        </w:rPr>
        <w:lastRenderedPageBreak/>
        <w:t>ОБРАЗЕЦ № 1</w:t>
      </w:r>
    </w:p>
    <w:p w:rsidR="0027434D" w:rsidRDefault="003F5CA9" w:rsidP="003F5CA9">
      <w:pPr>
        <w:spacing w:after="12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3F5CA9">
        <w:rPr>
          <w:rFonts w:ascii="Times New Roman" w:hAnsi="Times New Roman" w:cs="Times New Roman"/>
          <w:bCs/>
          <w:sz w:val="24"/>
          <w:szCs w:val="24"/>
        </w:rPr>
        <w:t> </w:t>
      </w:r>
    </w:p>
    <w:p w:rsidR="00C25C4E" w:rsidRDefault="00EF5B53" w:rsidP="00C25C4E">
      <w:pPr>
        <w:suppressAutoHyphens/>
        <w:autoSpaceDN w:val="0"/>
        <w:spacing w:after="12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EF5B5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КОНТРОЛЕН ЛИСТ ЗА ПРОВЕРКА НА СЪОТВЕТСТВИЕТО С ИЗИСКВАНИЯТА ЗА ДОСТЪПНОСТ</w:t>
      </w:r>
      <w:bookmarkStart w:id="0" w:name="_GoBack"/>
      <w:bookmarkEnd w:id="0"/>
    </w:p>
    <w:tbl>
      <w:tblPr>
        <w:tblStyle w:val="TableGrid"/>
        <w:tblW w:w="13698" w:type="dxa"/>
        <w:tblLook w:val="04A0" w:firstRow="1" w:lastRow="0" w:firstColumn="1" w:lastColumn="0" w:noHBand="0" w:noVBand="1"/>
      </w:tblPr>
      <w:tblGrid>
        <w:gridCol w:w="3708"/>
        <w:gridCol w:w="3510"/>
        <w:gridCol w:w="2970"/>
        <w:gridCol w:w="3510"/>
      </w:tblGrid>
      <w:tr w:rsidR="00A966A8" w:rsidTr="00644058">
        <w:tc>
          <w:tcPr>
            <w:tcW w:w="13698" w:type="dxa"/>
            <w:gridSpan w:val="4"/>
            <w:shd w:val="clear" w:color="auto" w:fill="DBE5F1" w:themeFill="accent1" w:themeFillTint="33"/>
          </w:tcPr>
          <w:p w:rsidR="006C2587" w:rsidRDefault="002E19C2" w:rsidP="00A966A8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Страница, о</w:t>
            </w:r>
            <w:r w:rsidR="006C2587" w:rsidRPr="00163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бект на тест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а</w:t>
            </w:r>
            <w:r w:rsidR="006C2587" w:rsidRPr="00163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: ...........................</w:t>
            </w:r>
          </w:p>
          <w:p w:rsidR="00E60402" w:rsidRDefault="00E60402" w:rsidP="00A966A8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Страницата е част от процес: </w:t>
            </w:r>
            <w:r w:rsidR="003A65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не/да</w:t>
            </w:r>
          </w:p>
          <w:p w:rsidR="003A651C" w:rsidRDefault="003A651C" w:rsidP="00A966A8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.........................................................................................................................................................</w:t>
            </w:r>
            <w:r w:rsidR="00A07AE0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...............................</w:t>
            </w:r>
          </w:p>
          <w:p w:rsidR="003A651C" w:rsidRPr="003A651C" w:rsidRDefault="003A651C" w:rsidP="00A966A8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3A651C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/В случай, че страницата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 xml:space="preserve"> е част от процес, например достъп, попълване и изпращане на заявление за ЕАУ, това се посочва</w:t>
            </w:r>
            <w:r w:rsidR="00A07AE0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/</w:t>
            </w:r>
          </w:p>
          <w:p w:rsidR="00A966A8" w:rsidRDefault="00A966A8" w:rsidP="00E60402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163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Дата на</w:t>
            </w:r>
            <w:r w:rsidR="00E604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 теста</w:t>
            </w:r>
            <w:r w:rsidRPr="00163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: ...............................</w:t>
            </w:r>
          </w:p>
          <w:p w:rsidR="00F305C8" w:rsidRPr="001635CD" w:rsidRDefault="00F305C8" w:rsidP="00E60402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Лице, извършило теста: .................................................</w:t>
            </w:r>
            <w:r w:rsidR="00A07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...............................</w:t>
            </w:r>
          </w:p>
        </w:tc>
      </w:tr>
      <w:tr w:rsidR="008D6D4B" w:rsidTr="00644058">
        <w:tc>
          <w:tcPr>
            <w:tcW w:w="3708" w:type="dxa"/>
            <w:shd w:val="clear" w:color="auto" w:fill="B8CCE4" w:themeFill="accent1" w:themeFillTint="66"/>
          </w:tcPr>
          <w:p w:rsidR="00A966A8" w:rsidRPr="002E19C2" w:rsidRDefault="00624929" w:rsidP="00106E33">
            <w:pPr>
              <w:suppressAutoHyphens/>
              <w:autoSpaceDN w:val="0"/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2E19C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Елемент</w:t>
            </w:r>
            <w:r w:rsidR="00106E3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</w:t>
            </w:r>
            <w:r w:rsidRPr="002E19C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на проверка</w:t>
            </w:r>
          </w:p>
        </w:tc>
        <w:tc>
          <w:tcPr>
            <w:tcW w:w="3510" w:type="dxa"/>
            <w:shd w:val="clear" w:color="auto" w:fill="B8CCE4" w:themeFill="accent1" w:themeFillTint="66"/>
          </w:tcPr>
          <w:p w:rsidR="00A966A8" w:rsidRPr="002E19C2" w:rsidRDefault="00624929" w:rsidP="00624929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2E19C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Критерий за успех на ХЕС клауза 9 /WCAG 2.1 A, AA/</w:t>
            </w:r>
          </w:p>
        </w:tc>
        <w:tc>
          <w:tcPr>
            <w:tcW w:w="2970" w:type="dxa"/>
            <w:shd w:val="clear" w:color="auto" w:fill="B8CCE4" w:themeFill="accent1" w:themeFillTint="66"/>
          </w:tcPr>
          <w:p w:rsidR="00A966A8" w:rsidRPr="002E19C2" w:rsidRDefault="00624929" w:rsidP="002E19C2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2E19C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Метод на тестване</w:t>
            </w:r>
          </w:p>
          <w:p w:rsidR="00624929" w:rsidRPr="002E19C2" w:rsidRDefault="00624929" w:rsidP="002E19C2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2E19C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Инструмент за тестване</w:t>
            </w:r>
          </w:p>
        </w:tc>
        <w:tc>
          <w:tcPr>
            <w:tcW w:w="3510" w:type="dxa"/>
            <w:shd w:val="clear" w:color="auto" w:fill="B8CCE4" w:themeFill="accent1" w:themeFillTint="66"/>
          </w:tcPr>
          <w:p w:rsidR="00E60402" w:rsidRDefault="00E60402" w:rsidP="00E60402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Резултати</w:t>
            </w:r>
          </w:p>
          <w:p w:rsidR="002E19C2" w:rsidRPr="002E19C2" w:rsidRDefault="002E19C2" w:rsidP="00E60402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2E19C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/Кратко описание/</w:t>
            </w:r>
          </w:p>
        </w:tc>
      </w:tr>
      <w:tr w:rsidR="008D6D4B" w:rsidTr="00644058">
        <w:tc>
          <w:tcPr>
            <w:tcW w:w="3708" w:type="dxa"/>
          </w:tcPr>
          <w:p w:rsidR="00A966A8" w:rsidRPr="008F3D91" w:rsidRDefault="008F3D91" w:rsidP="003F5CA9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 w:eastAsia="bg-BG"/>
              </w:rPr>
            </w:pPr>
            <w:r w:rsidRPr="008F3D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 w:eastAsia="bg-BG"/>
              </w:rPr>
              <w:t>Пример:</w:t>
            </w:r>
          </w:p>
          <w:p w:rsidR="008F3D91" w:rsidRDefault="003B5DF5" w:rsidP="00644058">
            <w:pPr>
              <w:tabs>
                <w:tab w:val="left" w:pos="501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B5DF5">
              <w:rPr>
                <w:rFonts w:ascii="Times New Roman" w:eastAsia="Calibri" w:hAnsi="Times New Roman" w:cs="Times New Roman"/>
                <w:sz w:val="24"/>
                <w:lang w:val="bg-BG"/>
              </w:rPr>
              <w:t>Заглавия</w:t>
            </w:r>
            <w:r w:rsidRPr="003B5DF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B5DF5">
              <w:rPr>
                <w:rFonts w:ascii="Times New Roman" w:eastAsia="Calibri" w:hAnsi="Times New Roman" w:cs="Times New Roman"/>
                <w:sz w:val="24"/>
                <w:lang w:val="bg-BG"/>
              </w:rPr>
              <w:t>на страници</w:t>
            </w:r>
            <w:r>
              <w:rPr>
                <w:rFonts w:ascii="Times New Roman" w:eastAsia="Calibri" w:hAnsi="Times New Roman" w:cs="Times New Roman"/>
                <w:sz w:val="24"/>
                <w:lang w:val="bg-BG"/>
              </w:rPr>
              <w:t xml:space="preserve"> </w:t>
            </w:r>
            <w:r w:rsidRPr="003B5DF5">
              <w:rPr>
                <w:rFonts w:ascii="Times New Roman" w:eastAsia="Calibri" w:hAnsi="Times New Roman" w:cs="Times New Roman"/>
                <w:sz w:val="24"/>
                <w:lang w:val="bg-BG"/>
              </w:rPr>
              <w:t>/Всяка страница има кратко, описателно заглавие, което я различава от останалите страници</w:t>
            </w:r>
            <w:r w:rsidR="00A07AE0">
              <w:rPr>
                <w:rFonts w:ascii="Times New Roman" w:eastAsia="Calibri" w:hAnsi="Times New Roman" w:cs="Times New Roman"/>
                <w:sz w:val="24"/>
                <w:lang w:val="bg-BG"/>
              </w:rPr>
              <w:t>/</w:t>
            </w:r>
          </w:p>
        </w:tc>
        <w:tc>
          <w:tcPr>
            <w:tcW w:w="3510" w:type="dxa"/>
          </w:tcPr>
          <w:p w:rsidR="00A966A8" w:rsidRDefault="00A07AE0" w:rsidP="003F5CA9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 w:cs="Times New Roman"/>
                <w:sz w:val="24"/>
                <w:lang w:val="bg-BG"/>
              </w:rPr>
              <w:t>2.4.2 Озаглавена страница /ниво A/</w:t>
            </w:r>
          </w:p>
        </w:tc>
        <w:tc>
          <w:tcPr>
            <w:tcW w:w="2970" w:type="dxa"/>
          </w:tcPr>
          <w:p w:rsidR="00A966A8" w:rsidRDefault="0010116E" w:rsidP="003F5CA9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0116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WAVE Web Accessibility Too</w:t>
            </w:r>
          </w:p>
        </w:tc>
        <w:tc>
          <w:tcPr>
            <w:tcW w:w="3510" w:type="dxa"/>
          </w:tcPr>
          <w:p w:rsidR="00A966A8" w:rsidRDefault="008D6D4B" w:rsidP="003F5CA9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Сътветствие</w:t>
            </w:r>
            <w:r w:rsidR="00A07AE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/Частично съответствие/</w:t>
            </w:r>
            <w:r w:rsidR="00A07AE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  <w:r w:rsidRPr="00C47B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bg-BG" w:eastAsia="bg-BG"/>
              </w:rPr>
              <w:t>Несъответствие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:</w:t>
            </w:r>
          </w:p>
          <w:p w:rsidR="008D6D4B" w:rsidRDefault="008D6D4B" w:rsidP="008D6D4B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- заглавието на страниц</w:t>
            </w:r>
            <w:r w:rsidR="00A07AE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ата съвпада със заглавието на 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уга страница;</w:t>
            </w:r>
          </w:p>
          <w:p w:rsidR="008D6D4B" w:rsidRDefault="008D6D4B" w:rsidP="008D6D4B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- липсва заглавие на страницата;</w:t>
            </w:r>
          </w:p>
          <w:p w:rsidR="008D6D4B" w:rsidRPr="008D6D4B" w:rsidRDefault="008D6D4B" w:rsidP="008D6D4B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- описанието в заглавието не съответства на съдържанието;</w:t>
            </w:r>
          </w:p>
        </w:tc>
      </w:tr>
      <w:tr w:rsidR="008D6D4B" w:rsidTr="00644058">
        <w:tc>
          <w:tcPr>
            <w:tcW w:w="3708" w:type="dxa"/>
          </w:tcPr>
          <w:p w:rsidR="00A966A8" w:rsidRDefault="00A966A8" w:rsidP="003F5CA9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510" w:type="dxa"/>
          </w:tcPr>
          <w:p w:rsidR="00A966A8" w:rsidRDefault="00A966A8" w:rsidP="003F5CA9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970" w:type="dxa"/>
          </w:tcPr>
          <w:p w:rsidR="00A966A8" w:rsidRDefault="00A966A8" w:rsidP="003F5CA9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510" w:type="dxa"/>
          </w:tcPr>
          <w:p w:rsidR="00A966A8" w:rsidRDefault="00A966A8" w:rsidP="003F5CA9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8D6D4B" w:rsidTr="00644058">
        <w:tc>
          <w:tcPr>
            <w:tcW w:w="3708" w:type="dxa"/>
          </w:tcPr>
          <w:p w:rsidR="00A966A8" w:rsidRDefault="00A966A8" w:rsidP="003F5CA9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510" w:type="dxa"/>
          </w:tcPr>
          <w:p w:rsidR="00A966A8" w:rsidRDefault="00A966A8" w:rsidP="003F5CA9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970" w:type="dxa"/>
          </w:tcPr>
          <w:p w:rsidR="00A966A8" w:rsidRDefault="00A966A8" w:rsidP="003F5CA9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510" w:type="dxa"/>
          </w:tcPr>
          <w:p w:rsidR="00A966A8" w:rsidRDefault="00A966A8" w:rsidP="003F5CA9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8D6D4B" w:rsidTr="00644058">
        <w:tc>
          <w:tcPr>
            <w:tcW w:w="3708" w:type="dxa"/>
          </w:tcPr>
          <w:p w:rsidR="00A966A8" w:rsidRDefault="00A966A8" w:rsidP="003F5CA9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510" w:type="dxa"/>
          </w:tcPr>
          <w:p w:rsidR="00A966A8" w:rsidRDefault="00A966A8" w:rsidP="003F5CA9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970" w:type="dxa"/>
          </w:tcPr>
          <w:p w:rsidR="00A966A8" w:rsidRDefault="00A966A8" w:rsidP="003F5CA9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510" w:type="dxa"/>
          </w:tcPr>
          <w:p w:rsidR="00A966A8" w:rsidRDefault="00A966A8" w:rsidP="003F5CA9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8D6D4B" w:rsidTr="00644058">
        <w:tc>
          <w:tcPr>
            <w:tcW w:w="3708" w:type="dxa"/>
          </w:tcPr>
          <w:p w:rsidR="00A966A8" w:rsidRDefault="00A966A8" w:rsidP="003F5CA9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510" w:type="dxa"/>
          </w:tcPr>
          <w:p w:rsidR="00A966A8" w:rsidRDefault="00A966A8" w:rsidP="003F5CA9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970" w:type="dxa"/>
          </w:tcPr>
          <w:p w:rsidR="00A966A8" w:rsidRDefault="00A966A8" w:rsidP="003F5CA9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510" w:type="dxa"/>
          </w:tcPr>
          <w:p w:rsidR="00A966A8" w:rsidRDefault="00A966A8" w:rsidP="003F5CA9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</w:tbl>
    <w:p w:rsidR="00546D04" w:rsidRPr="003F5CA9" w:rsidRDefault="00546D04" w:rsidP="00C25C4E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sectPr w:rsidR="00546D04" w:rsidRPr="003F5CA9" w:rsidSect="003B5DF5">
      <w:headerReference w:type="first" r:id="rId12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857" w:rsidRDefault="00FA4857" w:rsidP="00473309">
      <w:pPr>
        <w:spacing w:after="0" w:line="240" w:lineRule="auto"/>
      </w:pPr>
      <w:r>
        <w:separator/>
      </w:r>
    </w:p>
  </w:endnote>
  <w:endnote w:type="continuationSeparator" w:id="0">
    <w:p w:rsidR="00FA4857" w:rsidRDefault="00FA4857" w:rsidP="00473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857" w:rsidRDefault="00FA4857" w:rsidP="00473309">
      <w:pPr>
        <w:spacing w:after="0" w:line="240" w:lineRule="auto"/>
      </w:pPr>
      <w:r>
        <w:separator/>
      </w:r>
    </w:p>
  </w:footnote>
  <w:footnote w:type="continuationSeparator" w:id="0">
    <w:p w:rsidR="00FA4857" w:rsidRDefault="00FA4857" w:rsidP="00473309">
      <w:pPr>
        <w:spacing w:after="0" w:line="240" w:lineRule="auto"/>
      </w:pPr>
      <w:r>
        <w:continuationSeparator/>
      </w:r>
    </w:p>
  </w:footnote>
  <w:footnote w:id="1">
    <w:p w:rsidR="00F35E91" w:rsidRPr="00E95586" w:rsidRDefault="00F35E91" w:rsidP="00F35E91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0C2E1B">
          <w:rPr>
            <w:rStyle w:val="Hyperlink"/>
          </w:rPr>
          <w:t>https://www.etsi.org/deliver/etsi_en/301500_301599/301549/02.01.02_60/en_301549v020102p.pdf</w:t>
        </w:r>
      </w:hyperlink>
      <w:r w:rsidR="00E95586">
        <w:rPr>
          <w:rStyle w:val="Hyperlink"/>
          <w:lang w:val="bg-BG"/>
        </w:rPr>
        <w:t>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DF5" w:rsidRPr="00473309" w:rsidRDefault="003B5DF5" w:rsidP="003B5DF5">
    <w:pPr>
      <w:pStyle w:val="Header"/>
      <w:ind w:left="5760"/>
      <w:rPr>
        <w:rFonts w:ascii="Times New Roman" w:hAnsi="Times New Roman" w:cs="Times New Roman"/>
        <w:i/>
        <w:lang w:val="bg-BG"/>
      </w:rPr>
    </w:pPr>
    <w:r w:rsidRPr="00473309">
      <w:rPr>
        <w:rFonts w:ascii="Times New Roman" w:hAnsi="Times New Roman" w:cs="Times New Roman"/>
        <w:i/>
        <w:lang w:val="bg-BG"/>
      </w:rPr>
      <w:t>Приложение №</w:t>
    </w:r>
    <w:r w:rsidR="005725AF">
      <w:rPr>
        <w:rFonts w:ascii="Times New Roman" w:hAnsi="Times New Roman" w:cs="Times New Roman"/>
        <w:i/>
        <w:lang w:val="bg-BG"/>
      </w:rPr>
      <w:t xml:space="preserve"> </w:t>
    </w:r>
    <w:r>
      <w:rPr>
        <w:rFonts w:ascii="Times New Roman" w:hAnsi="Times New Roman" w:cs="Times New Roman"/>
        <w:i/>
        <w:lang w:val="bg-BG"/>
      </w:rPr>
      <w:t>2</w:t>
    </w:r>
  </w:p>
  <w:p w:rsidR="003B5DF5" w:rsidRPr="00473309" w:rsidRDefault="003B5DF5" w:rsidP="003B5DF5">
    <w:pPr>
      <w:pStyle w:val="Header"/>
      <w:ind w:left="5760"/>
      <w:rPr>
        <w:rFonts w:ascii="Times New Roman" w:hAnsi="Times New Roman" w:cs="Times New Roman"/>
        <w:i/>
        <w:lang w:val="bg-BG"/>
      </w:rPr>
    </w:pPr>
    <w:r w:rsidRPr="00473309">
      <w:rPr>
        <w:rFonts w:ascii="Times New Roman" w:hAnsi="Times New Roman" w:cs="Times New Roman"/>
        <w:i/>
        <w:lang w:val="bg-BG"/>
      </w:rPr>
      <w:t>Към чл</w:t>
    </w:r>
    <w:r>
      <w:rPr>
        <w:rFonts w:ascii="Times New Roman" w:hAnsi="Times New Roman" w:cs="Times New Roman"/>
        <w:i/>
        <w:lang w:val="bg-BG"/>
      </w:rPr>
      <w:t>.</w:t>
    </w:r>
    <w:r w:rsidR="005725AF">
      <w:rPr>
        <w:rFonts w:ascii="Times New Roman" w:hAnsi="Times New Roman" w:cs="Times New Roman"/>
        <w:i/>
        <w:lang w:val="bg-BG"/>
      </w:rPr>
      <w:t xml:space="preserve"> </w:t>
    </w:r>
    <w:r>
      <w:rPr>
        <w:rFonts w:ascii="Times New Roman" w:hAnsi="Times New Roman" w:cs="Times New Roman"/>
        <w:i/>
        <w:lang w:val="bg-BG"/>
      </w:rPr>
      <w:t>30, ал.</w:t>
    </w:r>
    <w:r w:rsidR="005725AF">
      <w:rPr>
        <w:rFonts w:ascii="Times New Roman" w:hAnsi="Times New Roman" w:cs="Times New Roman"/>
        <w:i/>
        <w:lang w:val="bg-BG"/>
      </w:rPr>
      <w:t xml:space="preserve"> </w:t>
    </w:r>
    <w:r>
      <w:rPr>
        <w:rFonts w:ascii="Times New Roman" w:hAnsi="Times New Roman" w:cs="Times New Roman"/>
        <w:i/>
        <w:lang w:val="bg-BG"/>
      </w:rPr>
      <w:t>1</w:t>
    </w:r>
    <w:r w:rsidR="005725AF">
      <w:rPr>
        <w:rFonts w:ascii="Times New Roman" w:hAnsi="Times New Roman" w:cs="Times New Roman"/>
        <w:i/>
        <w:lang w:val="bg-BG"/>
      </w:rPr>
      <w:t xml:space="preserve"> </w:t>
    </w:r>
    <w:r w:rsidRPr="00473309">
      <w:rPr>
        <w:rFonts w:ascii="Times New Roman" w:hAnsi="Times New Roman" w:cs="Times New Roman"/>
        <w:i/>
        <w:lang w:val="bg-BG"/>
      </w:rPr>
      <w:t xml:space="preserve">от Вътрешните правила за </w:t>
    </w:r>
    <w:r w:rsidR="00247036">
      <w:rPr>
        <w:rFonts w:ascii="Times New Roman" w:hAnsi="Times New Roman" w:cs="Times New Roman"/>
        <w:i/>
        <w:lang w:val="bg-BG"/>
      </w:rPr>
      <w:t xml:space="preserve">проектиране и </w:t>
    </w:r>
    <w:r w:rsidRPr="00473309">
      <w:rPr>
        <w:rFonts w:ascii="Times New Roman" w:hAnsi="Times New Roman" w:cs="Times New Roman"/>
        <w:i/>
        <w:lang w:val="bg-BG"/>
      </w:rPr>
      <w:t xml:space="preserve">предоставяне на електронни административни услуги от </w:t>
    </w:r>
    <w:r w:rsidR="00FF1DAA">
      <w:rPr>
        <w:rFonts w:ascii="Times New Roman" w:hAnsi="Times New Roman" w:cs="Times New Roman"/>
        <w:i/>
        <w:lang w:val="bg-BG"/>
      </w:rPr>
      <w:t xml:space="preserve">Община </w:t>
    </w:r>
    <w:r w:rsidR="00085DE0">
      <w:rPr>
        <w:rFonts w:ascii="Times New Roman" w:hAnsi="Times New Roman" w:cs="Times New Roman"/>
        <w:i/>
        <w:lang w:val="bg-BG"/>
      </w:rPr>
      <w:t>Монтана</w:t>
    </w:r>
  </w:p>
  <w:p w:rsidR="003B5DF5" w:rsidRDefault="003B5D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113C5"/>
    <w:multiLevelType w:val="multilevel"/>
    <w:tmpl w:val="2E54BF90"/>
    <w:lvl w:ilvl="0">
      <w:numFmt w:val="bullet"/>
      <w:lvlText w:val=""/>
      <w:lvlJc w:val="left"/>
      <w:pPr>
        <w:ind w:left="114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5" w:hanging="360"/>
      </w:pPr>
      <w:rPr>
        <w:rFonts w:ascii="Wingdings" w:hAnsi="Wingdings"/>
      </w:rPr>
    </w:lvl>
  </w:abstractNum>
  <w:abstractNum w:abstractNumId="1" w15:restartNumberingAfterBreak="0">
    <w:nsid w:val="0C217840"/>
    <w:multiLevelType w:val="hybridMultilevel"/>
    <w:tmpl w:val="FF6A3CD0"/>
    <w:lvl w:ilvl="0" w:tplc="D41CD59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103BA8"/>
    <w:multiLevelType w:val="hybridMultilevel"/>
    <w:tmpl w:val="CA9423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35BE3"/>
    <w:multiLevelType w:val="hybridMultilevel"/>
    <w:tmpl w:val="DAA6B72C"/>
    <w:lvl w:ilvl="0" w:tplc="D41CD59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360BCA"/>
    <w:multiLevelType w:val="hybridMultilevel"/>
    <w:tmpl w:val="F41C71FA"/>
    <w:lvl w:ilvl="0" w:tplc="D41CD59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C70350"/>
    <w:multiLevelType w:val="multilevel"/>
    <w:tmpl w:val="A1744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6" w15:restartNumberingAfterBreak="0">
    <w:nsid w:val="24934A0A"/>
    <w:multiLevelType w:val="hybridMultilevel"/>
    <w:tmpl w:val="2656F7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41160"/>
    <w:multiLevelType w:val="hybridMultilevel"/>
    <w:tmpl w:val="8F0C59A0"/>
    <w:lvl w:ilvl="0" w:tplc="3B466CF0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429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9BA5843"/>
    <w:multiLevelType w:val="hybridMultilevel"/>
    <w:tmpl w:val="AD24B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12701"/>
    <w:multiLevelType w:val="hybridMultilevel"/>
    <w:tmpl w:val="616CC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F49BE"/>
    <w:multiLevelType w:val="hybridMultilevel"/>
    <w:tmpl w:val="97B439E8"/>
    <w:lvl w:ilvl="0" w:tplc="D41CD59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660A9B"/>
    <w:multiLevelType w:val="hybridMultilevel"/>
    <w:tmpl w:val="57D030B4"/>
    <w:lvl w:ilvl="0" w:tplc="D41CD59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2C464A"/>
    <w:multiLevelType w:val="multilevel"/>
    <w:tmpl w:val="ABE26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1744CA"/>
    <w:multiLevelType w:val="hybridMultilevel"/>
    <w:tmpl w:val="3A588C3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CA777B0"/>
    <w:multiLevelType w:val="hybridMultilevel"/>
    <w:tmpl w:val="CCD0E76E"/>
    <w:lvl w:ilvl="0" w:tplc="D41CD5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51432"/>
    <w:multiLevelType w:val="hybridMultilevel"/>
    <w:tmpl w:val="0D4C61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EA1FF8"/>
    <w:multiLevelType w:val="multilevel"/>
    <w:tmpl w:val="4CE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CF7BE9"/>
    <w:multiLevelType w:val="hybridMultilevel"/>
    <w:tmpl w:val="F40E70B2"/>
    <w:lvl w:ilvl="0" w:tplc="D41CD59C"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8" w15:restartNumberingAfterBreak="0">
    <w:nsid w:val="58AD3F1C"/>
    <w:multiLevelType w:val="hybridMultilevel"/>
    <w:tmpl w:val="D006F2FA"/>
    <w:lvl w:ilvl="0" w:tplc="D41CD59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D304627"/>
    <w:multiLevelType w:val="hybridMultilevel"/>
    <w:tmpl w:val="30267A0E"/>
    <w:lvl w:ilvl="0" w:tplc="D41CD59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2540184"/>
    <w:multiLevelType w:val="hybridMultilevel"/>
    <w:tmpl w:val="3948F3A8"/>
    <w:lvl w:ilvl="0" w:tplc="957052DC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654A2778"/>
    <w:multiLevelType w:val="hybridMultilevel"/>
    <w:tmpl w:val="ADC86A42"/>
    <w:lvl w:ilvl="0" w:tplc="D41CD59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85427D"/>
    <w:multiLevelType w:val="hybridMultilevel"/>
    <w:tmpl w:val="0F767D78"/>
    <w:lvl w:ilvl="0" w:tplc="D41CD59C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678D5123"/>
    <w:multiLevelType w:val="hybridMultilevel"/>
    <w:tmpl w:val="070A4B4C"/>
    <w:lvl w:ilvl="0" w:tplc="D41CD59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537F70"/>
    <w:multiLevelType w:val="hybridMultilevel"/>
    <w:tmpl w:val="62C490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2C7D6D"/>
    <w:multiLevelType w:val="hybridMultilevel"/>
    <w:tmpl w:val="4FA6EA90"/>
    <w:lvl w:ilvl="0" w:tplc="206082D2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 w15:restartNumberingAfterBreak="0">
    <w:nsid w:val="6FFB2CEF"/>
    <w:multiLevelType w:val="hybridMultilevel"/>
    <w:tmpl w:val="7BC23CF6"/>
    <w:lvl w:ilvl="0" w:tplc="80CA5558">
      <w:start w:val="2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12"/>
  </w:num>
  <w:num w:numId="4">
    <w:abstractNumId w:val="2"/>
  </w:num>
  <w:num w:numId="5">
    <w:abstractNumId w:val="6"/>
  </w:num>
  <w:num w:numId="6">
    <w:abstractNumId w:val="15"/>
  </w:num>
  <w:num w:numId="7">
    <w:abstractNumId w:val="9"/>
  </w:num>
  <w:num w:numId="8">
    <w:abstractNumId w:val="13"/>
  </w:num>
  <w:num w:numId="9">
    <w:abstractNumId w:val="10"/>
  </w:num>
  <w:num w:numId="10">
    <w:abstractNumId w:val="23"/>
  </w:num>
  <w:num w:numId="11">
    <w:abstractNumId w:val="26"/>
  </w:num>
  <w:num w:numId="12">
    <w:abstractNumId w:val="5"/>
  </w:num>
  <w:num w:numId="13">
    <w:abstractNumId w:val="7"/>
  </w:num>
  <w:num w:numId="14">
    <w:abstractNumId w:val="14"/>
  </w:num>
  <w:num w:numId="15">
    <w:abstractNumId w:val="4"/>
  </w:num>
  <w:num w:numId="16">
    <w:abstractNumId w:val="17"/>
  </w:num>
  <w:num w:numId="17">
    <w:abstractNumId w:val="11"/>
  </w:num>
  <w:num w:numId="18">
    <w:abstractNumId w:val="18"/>
  </w:num>
  <w:num w:numId="19">
    <w:abstractNumId w:val="0"/>
  </w:num>
  <w:num w:numId="20">
    <w:abstractNumId w:val="19"/>
  </w:num>
  <w:num w:numId="21">
    <w:abstractNumId w:val="8"/>
  </w:num>
  <w:num w:numId="22">
    <w:abstractNumId w:val="25"/>
  </w:num>
  <w:num w:numId="23">
    <w:abstractNumId w:val="22"/>
  </w:num>
  <w:num w:numId="24">
    <w:abstractNumId w:val="20"/>
  </w:num>
  <w:num w:numId="25">
    <w:abstractNumId w:val="1"/>
  </w:num>
  <w:num w:numId="26">
    <w:abstractNumId w:val="21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FB"/>
    <w:rsid w:val="000020C9"/>
    <w:rsid w:val="00014EDE"/>
    <w:rsid w:val="00023056"/>
    <w:rsid w:val="0002537F"/>
    <w:rsid w:val="00070B1B"/>
    <w:rsid w:val="00070CA1"/>
    <w:rsid w:val="00085DE0"/>
    <w:rsid w:val="00092F4C"/>
    <w:rsid w:val="000C3347"/>
    <w:rsid w:val="000C7137"/>
    <w:rsid w:val="000F016D"/>
    <w:rsid w:val="0010116E"/>
    <w:rsid w:val="00106E33"/>
    <w:rsid w:val="00133E45"/>
    <w:rsid w:val="0013442F"/>
    <w:rsid w:val="001364C8"/>
    <w:rsid w:val="00143FD5"/>
    <w:rsid w:val="00155282"/>
    <w:rsid w:val="0016144D"/>
    <w:rsid w:val="001635CD"/>
    <w:rsid w:val="00164F6E"/>
    <w:rsid w:val="00170D23"/>
    <w:rsid w:val="001A424C"/>
    <w:rsid w:val="001C630A"/>
    <w:rsid w:val="001E2960"/>
    <w:rsid w:val="001E2B4B"/>
    <w:rsid w:val="001F5EAE"/>
    <w:rsid w:val="00241E76"/>
    <w:rsid w:val="002425B5"/>
    <w:rsid w:val="00247036"/>
    <w:rsid w:val="002668C5"/>
    <w:rsid w:val="0027434D"/>
    <w:rsid w:val="002774EF"/>
    <w:rsid w:val="0028025F"/>
    <w:rsid w:val="002941FF"/>
    <w:rsid w:val="00297A2A"/>
    <w:rsid w:val="002A052C"/>
    <w:rsid w:val="002A7E75"/>
    <w:rsid w:val="002B64A7"/>
    <w:rsid w:val="002C0CCA"/>
    <w:rsid w:val="002D598C"/>
    <w:rsid w:val="002E19C2"/>
    <w:rsid w:val="002E71A8"/>
    <w:rsid w:val="00337F16"/>
    <w:rsid w:val="003449D1"/>
    <w:rsid w:val="003964E8"/>
    <w:rsid w:val="003A385D"/>
    <w:rsid w:val="003A651C"/>
    <w:rsid w:val="003B5DF5"/>
    <w:rsid w:val="003E4A58"/>
    <w:rsid w:val="003F5CA9"/>
    <w:rsid w:val="003F6629"/>
    <w:rsid w:val="003F6E6F"/>
    <w:rsid w:val="0040477F"/>
    <w:rsid w:val="00414BA4"/>
    <w:rsid w:val="004223F9"/>
    <w:rsid w:val="00430908"/>
    <w:rsid w:val="00433A76"/>
    <w:rsid w:val="00464F62"/>
    <w:rsid w:val="00473309"/>
    <w:rsid w:val="00477ECC"/>
    <w:rsid w:val="004840AE"/>
    <w:rsid w:val="004A4BC9"/>
    <w:rsid w:val="004A70E9"/>
    <w:rsid w:val="004C448A"/>
    <w:rsid w:val="004F1CA1"/>
    <w:rsid w:val="005059FB"/>
    <w:rsid w:val="00543236"/>
    <w:rsid w:val="00546D04"/>
    <w:rsid w:val="00553622"/>
    <w:rsid w:val="005725AF"/>
    <w:rsid w:val="00574D0B"/>
    <w:rsid w:val="00595983"/>
    <w:rsid w:val="00597D2F"/>
    <w:rsid w:val="005A1043"/>
    <w:rsid w:val="005D578B"/>
    <w:rsid w:val="005E76ED"/>
    <w:rsid w:val="00617BA1"/>
    <w:rsid w:val="00617CD6"/>
    <w:rsid w:val="00624929"/>
    <w:rsid w:val="00634392"/>
    <w:rsid w:val="00644058"/>
    <w:rsid w:val="00664553"/>
    <w:rsid w:val="00674327"/>
    <w:rsid w:val="00686CD5"/>
    <w:rsid w:val="00696CA1"/>
    <w:rsid w:val="006C0C8D"/>
    <w:rsid w:val="006C2587"/>
    <w:rsid w:val="006C475B"/>
    <w:rsid w:val="006C77C8"/>
    <w:rsid w:val="006D1447"/>
    <w:rsid w:val="006D651C"/>
    <w:rsid w:val="006F59B1"/>
    <w:rsid w:val="00700DA9"/>
    <w:rsid w:val="00701B33"/>
    <w:rsid w:val="0071436F"/>
    <w:rsid w:val="00736B66"/>
    <w:rsid w:val="0074063E"/>
    <w:rsid w:val="00743407"/>
    <w:rsid w:val="00772FD1"/>
    <w:rsid w:val="007736EE"/>
    <w:rsid w:val="007967C8"/>
    <w:rsid w:val="00797E2F"/>
    <w:rsid w:val="007A07C4"/>
    <w:rsid w:val="007B7211"/>
    <w:rsid w:val="00825B44"/>
    <w:rsid w:val="008537E9"/>
    <w:rsid w:val="0085671B"/>
    <w:rsid w:val="008644A0"/>
    <w:rsid w:val="00871C2B"/>
    <w:rsid w:val="00875624"/>
    <w:rsid w:val="00876085"/>
    <w:rsid w:val="0089478F"/>
    <w:rsid w:val="00897332"/>
    <w:rsid w:val="008D6D4B"/>
    <w:rsid w:val="008F3D91"/>
    <w:rsid w:val="0092389C"/>
    <w:rsid w:val="009A7038"/>
    <w:rsid w:val="009B77BF"/>
    <w:rsid w:val="009E4DD8"/>
    <w:rsid w:val="00A07AE0"/>
    <w:rsid w:val="00A153C7"/>
    <w:rsid w:val="00A6502C"/>
    <w:rsid w:val="00A73107"/>
    <w:rsid w:val="00A86CC3"/>
    <w:rsid w:val="00A966A8"/>
    <w:rsid w:val="00AB7EFB"/>
    <w:rsid w:val="00AC10E1"/>
    <w:rsid w:val="00AD1AF6"/>
    <w:rsid w:val="00AE060F"/>
    <w:rsid w:val="00AE60E0"/>
    <w:rsid w:val="00AF1C23"/>
    <w:rsid w:val="00B03CF4"/>
    <w:rsid w:val="00B12CCE"/>
    <w:rsid w:val="00B366AA"/>
    <w:rsid w:val="00B41ACE"/>
    <w:rsid w:val="00B54298"/>
    <w:rsid w:val="00B55A4A"/>
    <w:rsid w:val="00B61568"/>
    <w:rsid w:val="00B758C1"/>
    <w:rsid w:val="00B8556E"/>
    <w:rsid w:val="00BD607D"/>
    <w:rsid w:val="00C171DA"/>
    <w:rsid w:val="00C25C4E"/>
    <w:rsid w:val="00C47BF7"/>
    <w:rsid w:val="00C757CE"/>
    <w:rsid w:val="00C84681"/>
    <w:rsid w:val="00CA1BE2"/>
    <w:rsid w:val="00CB274E"/>
    <w:rsid w:val="00CC0873"/>
    <w:rsid w:val="00CE1A93"/>
    <w:rsid w:val="00D01477"/>
    <w:rsid w:val="00D04616"/>
    <w:rsid w:val="00D1428D"/>
    <w:rsid w:val="00D2000D"/>
    <w:rsid w:val="00D24187"/>
    <w:rsid w:val="00D33DB0"/>
    <w:rsid w:val="00D74B5E"/>
    <w:rsid w:val="00DD390F"/>
    <w:rsid w:val="00DD4B0C"/>
    <w:rsid w:val="00DE76CB"/>
    <w:rsid w:val="00DF525F"/>
    <w:rsid w:val="00E1621D"/>
    <w:rsid w:val="00E25D4C"/>
    <w:rsid w:val="00E26CC2"/>
    <w:rsid w:val="00E2721A"/>
    <w:rsid w:val="00E43A15"/>
    <w:rsid w:val="00E5459B"/>
    <w:rsid w:val="00E559A0"/>
    <w:rsid w:val="00E60402"/>
    <w:rsid w:val="00E675AE"/>
    <w:rsid w:val="00E74661"/>
    <w:rsid w:val="00E95586"/>
    <w:rsid w:val="00EE6218"/>
    <w:rsid w:val="00EF5B53"/>
    <w:rsid w:val="00F305C8"/>
    <w:rsid w:val="00F33A3F"/>
    <w:rsid w:val="00F35E91"/>
    <w:rsid w:val="00F51D81"/>
    <w:rsid w:val="00F5569F"/>
    <w:rsid w:val="00F6722B"/>
    <w:rsid w:val="00F77364"/>
    <w:rsid w:val="00F913B3"/>
    <w:rsid w:val="00F9404A"/>
    <w:rsid w:val="00FA3C5C"/>
    <w:rsid w:val="00FA4857"/>
    <w:rsid w:val="00FB59FB"/>
    <w:rsid w:val="00FD065B"/>
    <w:rsid w:val="00FD6A0D"/>
    <w:rsid w:val="00FD6E39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3B686"/>
  <w15:docId w15:val="{2E8F9FE2-3E6E-4A80-B850-79E46B3D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6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D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59F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3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309"/>
  </w:style>
  <w:style w:type="paragraph" w:styleId="Footer">
    <w:name w:val="footer"/>
    <w:basedOn w:val="Normal"/>
    <w:link w:val="FooterChar"/>
    <w:uiPriority w:val="99"/>
    <w:unhideWhenUsed/>
    <w:rsid w:val="00473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309"/>
  </w:style>
  <w:style w:type="paragraph" w:styleId="BalloonText">
    <w:name w:val="Balloon Text"/>
    <w:basedOn w:val="Normal"/>
    <w:link w:val="BalloonTextChar"/>
    <w:uiPriority w:val="99"/>
    <w:semiHidden/>
    <w:unhideWhenUsed/>
    <w:rsid w:val="00473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30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26CC2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17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171D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71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840A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556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DD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A96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ve.webaim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3.org/WAI/ER/tools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checkmycolour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alidator.w3.org/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tsi.org/deliver/etsi_en/301500_301599/301549/02.01.02_60/en_301549v020102p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1558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Desislava Zamfirova</cp:lastModifiedBy>
  <cp:revision>16</cp:revision>
  <dcterms:created xsi:type="dcterms:W3CDTF">2020-05-12T13:08:00Z</dcterms:created>
  <dcterms:modified xsi:type="dcterms:W3CDTF">2024-06-07T09:28:00Z</dcterms:modified>
</cp:coreProperties>
</file>